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34"/>
        </w:rPr>
        <w:t>GEWALTSCHUTZKURS</w:t>
        <w:br/>
        <w:t>FÜR FRAUEN UND MÄDCHEN</w:t>
      </w:r>
    </w:p>
    <w:p>
      <w:pPr>
        <w:jc w:val="center"/>
      </w:pPr>
      <w:r>
        <w:rPr>
          <w:rFonts w:ascii="Aptos Display" w:hAnsi="Aptos Display"/>
          <w:b/>
          <w:sz w:val="48"/>
        </w:rPr>
        <w:t>Reduzierte Fokusliste der Kurskompetenzen</w:t>
      </w:r>
    </w:p>
    <w:p>
      <w:pPr>
        <w:jc w:val="center"/>
      </w:pPr>
      <w:r>
        <w:rPr>
          <w:color w:val="595959"/>
          <w:sz w:val="28"/>
        </w:rPr>
        <w:t>Auswahl und Zielniveau für den 10-Einheiten-Kurs</w:t>
      </w:r>
    </w:p>
    <w:p/>
    <w:p>
      <w:pPr>
        <w:jc w:val="center"/>
      </w:pPr>
      <w:r>
        <w:rPr>
          <w:i/>
          <w:sz w:val="20"/>
        </w:rPr>
        <w:t>Version 1.0 · Folgedokument zum Kompetenzkatalog und Reifegradmodell v1.0</w:t>
      </w:r>
    </w:p>
    <w:p/>
    <w:p>
      <w:pPr>
        <w:jc w:val="center"/>
      </w:pPr>
      <w:r>
        <w:rPr>
          <w:b/>
          <w:sz w:val="26"/>
        </w:rPr>
        <w:t>Planungslogik</w:t>
      </w:r>
    </w:p>
    <w:p>
      <w:pPr>
        <w:jc w:val="center"/>
      </w:pPr>
      <w:r>
        <w:rPr>
          <w:b/>
          <w:color w:val="1F4E79"/>
          <w:sz w:val="30"/>
        </w:rPr>
        <w:t>Nicht alles gleich tief – aber das Wesentliche mehrfach praktisch.</w:t>
      </w:r>
    </w:p>
    <w:p>
      <w:r>
        <w:br w:type="page"/>
      </w:r>
    </w:p>
    <w:p>
      <w:pPr>
        <w:pStyle w:val="Heading1"/>
      </w:pPr>
      <w:r>
        <w:t>1. Zweck des Dokuments</w:t>
      </w:r>
    </w:p>
    <w:p>
      <w:r>
        <w:t>Dieses Dokument reduziert den vollständigen Kompetenzkatalog auf die Fähigkeiten, die im konkreten 10-Einheiten-Kurs aufgebaut werden sollen. Es legt Priorität und angestrebten Zielstand fest, verteilt die Kompetenzen aber noch nicht auf einzelne Einheiten.</w:t>
      </w:r>
    </w:p>
    <w:p>
      <w:r>
        <w:t>Die Auswahl folgt der vereinbarten Grundlogik: Gefahrenvermeidung, Selbstbehauptung und Selbstverteidigung werden parallel entwickelt. Eine Fähigkeit wird nicht deshalb zum Kursinhalt, weil sie im Katalog vorhanden ist, sondern weil sie einen erkennbaren Beitrag zu Handlungsfähigkeit, Schutz, Ausstieg oder Hilfe leistet.</w:t>
      </w:r>
    </w:p>
    <w:p>
      <w:r>
        <w:t>Die Fokusliste ist damit die verbindliche Brücke zwischen dem vollständigen Kompetenzmodell und der nachfolgenden 10-Einheiten-Matrix.</w:t>
      </w:r>
    </w:p>
    <w:p>
      <w:pPr>
        <w:pStyle w:val="Heading1"/>
      </w:pPr>
      <w:r>
        <w:t>2. Prioritätsklassen</w:t>
      </w:r>
    </w:p>
    <w:tbl>
      <w:tblPr>
        <w:tblStyle w:val="TableGrid"/>
        <w:tblW w:type="auto" w:w="0"/>
        <w:jc w:val="center"/>
        <w:tblLook w:firstColumn="1" w:firstRow="1" w:lastColumn="0" w:lastRow="0" w:noHBand="0" w:noVBand="1" w:val="04A0"/>
      </w:tblPr>
      <w:tblGrid>
        <w:gridCol w:w="3400"/>
        <w:gridCol w:w="3400"/>
        <w:gridCol w:w="3400"/>
      </w:tblGrid>
      <w:tr>
        <w:tc>
          <w:tcPr>
            <w:tcW w:type="dxa" w:w="3400"/>
            <w:vAlign w:val="center"/>
            <w:shd w:fill="D9EAF7"/>
          </w:tcPr>
          <w:p>
            <w:r/>
            <w:r>
              <w:rPr>
                <w:rFonts w:ascii="Aptos" w:hAnsi="Aptos"/>
                <w:b/>
                <w:sz w:val="17"/>
              </w:rPr>
              <w:t>Klasse</w:t>
            </w:r>
          </w:p>
        </w:tc>
        <w:tc>
          <w:tcPr>
            <w:tcW w:type="dxa" w:w="3400"/>
            <w:vAlign w:val="center"/>
            <w:shd w:fill="D9EAF7"/>
          </w:tcPr>
          <w:p>
            <w:r/>
            <w:r>
              <w:rPr>
                <w:rFonts w:ascii="Aptos" w:hAnsi="Aptos"/>
                <w:b/>
                <w:sz w:val="17"/>
              </w:rPr>
              <w:t>Bedeutung</w:t>
            </w:r>
          </w:p>
        </w:tc>
        <w:tc>
          <w:tcPr>
            <w:tcW w:type="dxa" w:w="3400"/>
            <w:vAlign w:val="center"/>
            <w:shd w:fill="D9EAF7"/>
          </w:tcPr>
          <w:p>
            <w:r/>
            <w:r>
              <w:rPr>
                <w:rFonts w:ascii="Aptos" w:hAnsi="Aptos"/>
                <w:b/>
                <w:sz w:val="17"/>
              </w:rPr>
              <w:t>Konsequenz für die Planung</w:t>
            </w:r>
          </w:p>
        </w:tc>
      </w:tr>
      <w:tr>
        <w:tc>
          <w:tcPr>
            <w:tcW w:type="dxa" w:w="3400"/>
            <w:vAlign w:val="center"/>
          </w:tcPr>
          <w:p>
            <w:r/>
            <w:r>
              <w:rPr>
                <w:rFonts w:ascii="Aptos" w:hAnsi="Aptos"/>
                <w:b/>
                <w:sz w:val="17"/>
              </w:rPr>
              <w:t>K – Kernkompetenz</w:t>
            </w:r>
          </w:p>
        </w:tc>
        <w:tc>
          <w:tcPr>
            <w:tcW w:type="dxa" w:w="3400"/>
            <w:vAlign w:val="center"/>
          </w:tcPr>
          <w:p>
            <w:r/>
            <w:r>
              <w:rPr>
                <w:rFonts w:ascii="Aptos" w:hAnsi="Aptos"/>
                <w:b w:val="0"/>
                <w:sz w:val="17"/>
              </w:rPr>
              <w:t>Soll von jeder Teilnehmerin praktisch aufgebaut und mehrfach angewandt werden.</w:t>
            </w:r>
          </w:p>
        </w:tc>
        <w:tc>
          <w:tcPr>
            <w:tcW w:type="dxa" w:w="3400"/>
            <w:vAlign w:val="center"/>
          </w:tcPr>
          <w:p>
            <w:r/>
            <w:r>
              <w:rPr>
                <w:rFonts w:ascii="Aptos" w:hAnsi="Aptos"/>
                <w:b w:val="0"/>
                <w:sz w:val="17"/>
              </w:rPr>
              <w:t>Erhält mehrere Lerngelegenheiten und mindestens eine Anwendung in neuem Kontext.</w:t>
            </w:r>
          </w:p>
        </w:tc>
      </w:tr>
      <w:tr>
        <w:tc>
          <w:tcPr>
            <w:tcW w:type="dxa" w:w="3400"/>
            <w:vAlign w:val="center"/>
          </w:tcPr>
          <w:p>
            <w:r/>
            <w:r>
              <w:rPr>
                <w:rFonts w:ascii="Aptos" w:hAnsi="Aptos"/>
                <w:b/>
                <w:sz w:val="17"/>
              </w:rPr>
              <w:t>E – Ergänzungskompetenz</w:t>
            </w:r>
          </w:p>
        </w:tc>
        <w:tc>
          <w:tcPr>
            <w:tcW w:type="dxa" w:w="3400"/>
            <w:vAlign w:val="center"/>
          </w:tcPr>
          <w:p>
            <w:r/>
            <w:r>
              <w:rPr>
                <w:rFonts w:ascii="Aptos" w:hAnsi="Aptos"/>
                <w:b w:val="0"/>
                <w:sz w:val="17"/>
              </w:rPr>
              <w:t>Ist für relevante Situationen wichtig, kann aber mit geringerer Tiefe oder nur in ausgewählten Kontexten trainiert werden.</w:t>
            </w:r>
          </w:p>
        </w:tc>
        <w:tc>
          <w:tcPr>
            <w:tcW w:type="dxa" w:w="3400"/>
            <w:vAlign w:val="center"/>
          </w:tcPr>
          <w:p>
            <w:r/>
            <w:r>
              <w:rPr>
                <w:rFonts w:ascii="Aptos" w:hAnsi="Aptos"/>
                <w:b w:val="0"/>
                <w:sz w:val="17"/>
              </w:rPr>
              <w:t>Erhält eine Einführung und mindestens eine gezielte Anwendung oder Vertiefung.</w:t>
            </w:r>
          </w:p>
        </w:tc>
      </w:tr>
      <w:tr>
        <w:tc>
          <w:tcPr>
            <w:tcW w:type="dxa" w:w="3400"/>
            <w:vAlign w:val="center"/>
          </w:tcPr>
          <w:p>
            <w:r/>
            <w:r>
              <w:rPr>
                <w:rFonts w:ascii="Aptos" w:hAnsi="Aptos"/>
                <w:b/>
                <w:sz w:val="17"/>
              </w:rPr>
              <w:t>O – Orientierungskompetenz</w:t>
            </w:r>
          </w:p>
        </w:tc>
        <w:tc>
          <w:tcPr>
            <w:tcW w:type="dxa" w:w="3400"/>
            <w:vAlign w:val="center"/>
          </w:tcPr>
          <w:p>
            <w:r/>
            <w:r>
              <w:rPr>
                <w:rFonts w:ascii="Aptos" w:hAnsi="Aptos"/>
                <w:b w:val="0"/>
                <w:sz w:val="17"/>
              </w:rPr>
              <w:t>Soll verstanden, gekannt oder sicher zugeordnet werden; umfassende praktische Beherrschung ist nicht Kursziel.</w:t>
            </w:r>
          </w:p>
        </w:tc>
        <w:tc>
          <w:tcPr>
            <w:tcW w:type="dxa" w:w="3400"/>
            <w:vAlign w:val="center"/>
          </w:tcPr>
          <w:p>
            <w:r/>
            <w:r>
              <w:rPr>
                <w:rFonts w:ascii="Aptos" w:hAnsi="Aptos"/>
                <w:b w:val="0"/>
                <w:sz w:val="17"/>
              </w:rPr>
              <w:t>Wird knapp, handlungsbezogen und mit verlässlichen Materialien vermittelt.</w:t>
            </w:r>
          </w:p>
        </w:tc>
      </w:tr>
    </w:tbl>
    <w:p/>
    <w:p>
      <w:pPr>
        <w:pStyle w:val="Heading1"/>
      </w:pPr>
      <w:r>
        <w:t>3. Auswahlkriterien</w:t>
      </w:r>
    </w:p>
    <w:p>
      <w:pPr>
        <w:pStyle w:val="ListBullet"/>
      </w:pPr>
      <w:r>
        <w:rPr>
          <w:b/>
        </w:rPr>
        <w:t xml:space="preserve">Unmittelbarer Schutzwert: </w:t>
      </w:r>
      <w:r>
        <w:t>Die Kompetenz erweitert konkrete Handlungsmöglichkeiten in relevanten Gefahrensituationen.</w:t>
      </w:r>
    </w:p>
    <w:p>
      <w:pPr>
        <w:pStyle w:val="ListBullet"/>
      </w:pPr>
      <w:r>
        <w:rPr>
          <w:b/>
        </w:rPr>
        <w:t xml:space="preserve">Trainierbarkeit: </w:t>
      </w:r>
      <w:r>
        <w:t>Sie kann in einem sicheren Kursrahmen praktisch erlebt, wiederholt und überprüft werden.</w:t>
      </w:r>
    </w:p>
    <w:p>
      <w:pPr>
        <w:pStyle w:val="ListBullet"/>
      </w:pPr>
      <w:r>
        <w:rPr>
          <w:b/>
        </w:rPr>
        <w:t xml:space="preserve">Transferwert: </w:t>
      </w:r>
      <w:r>
        <w:t>Sie ist in mehreren Lebenskontexten nutzbar und nicht nur für einen Spezialfall relevant.</w:t>
      </w:r>
    </w:p>
    <w:p>
      <w:pPr>
        <w:pStyle w:val="ListBullet"/>
      </w:pPr>
      <w:r>
        <w:rPr>
          <w:b/>
        </w:rPr>
        <w:t xml:space="preserve">Anschlussfähigkeit: </w:t>
      </w:r>
      <w:r>
        <w:t>Sie lässt sich mit anderen Fähigkeiten zu vollständigen Handlungsketten verbinden.</w:t>
      </w:r>
    </w:p>
    <w:p>
      <w:pPr>
        <w:pStyle w:val="ListBullet"/>
      </w:pPr>
      <w:r>
        <w:rPr>
          <w:b/>
        </w:rPr>
        <w:t xml:space="preserve">Realistische Zielhöhe: </w:t>
      </w:r>
      <w:r>
        <w:t>Der angestrebte Zielstand ist in zehn Einheiten erreichbar, ohne Scheinsicherheit zu erzeugen.</w:t>
      </w:r>
    </w:p>
    <w:p>
      <w:pPr>
        <w:pStyle w:val="ListBullet"/>
      </w:pPr>
      <w:r>
        <w:rPr>
          <w:b/>
        </w:rPr>
        <w:t xml:space="preserve">Zielgruppenrelevanz: </w:t>
      </w:r>
      <w:r>
        <w:t>Die Kompetenz passt zu Frauen und Mädchen ab etwa 15 Jahren und berücksichtigt sexualisierte sowie häusliche Gewalt.</w:t>
      </w:r>
    </w:p>
    <w:p>
      <w:pPr>
        <w:pStyle w:val="Heading1"/>
      </w:pPr>
      <w:r>
        <w:t>4. Zielniveaus</w:t>
      </w:r>
    </w:p>
    <w:p>
      <w:r>
        <w:t>Für Gefahrenvermeidung und Selbstbehauptung werden die Reifegrade R1 bis R5 verwendet. Für physische Selbstverteidigung werden Gefahrenstufe G1 bis G8 und Praxisniveau P1 bis P5 kombiniert. Die Zielniveaus beziehen sich auf das Kursende, nicht auf jede einzelne Übung.</w:t>
      </w:r>
    </w:p>
    <w:p>
      <w:pPr>
        <w:pStyle w:val="Heading1"/>
      </w:pPr>
      <w:r>
        <w:t>5. Reduzierte Fokusliste</w:t>
      </w:r>
    </w:p>
    <w:p>
      <w:pPr>
        <w:pStyle w:val="Heading2"/>
      </w:pPr>
      <w:r>
        <w:t>5.1 Gefahrenvermeidung – Wahrnehmung, Einordnung und frühe Handlungsoptionen</w:t>
      </w:r>
    </w:p>
    <w:tbl>
      <w:tblPr>
        <w:tblStyle w:val="TableGrid"/>
        <w:tblW w:type="auto" w:w="0"/>
        <w:jc w:val="center"/>
        <w:tblLook w:firstColumn="1" w:firstRow="1" w:lastColumn="0" w:lastRow="0" w:noHBand="0" w:noVBand="1" w:val="04A0"/>
      </w:tblPr>
      <w:tblGrid>
        <w:gridCol w:w="1700"/>
        <w:gridCol w:w="1700"/>
        <w:gridCol w:w="1700"/>
        <w:gridCol w:w="1700"/>
        <w:gridCol w:w="1700"/>
        <w:gridCol w:w="1700"/>
      </w:tblGrid>
      <w:tr>
        <w:tc>
          <w:tcPr>
            <w:tcW w:type="dxa" w:w="1700"/>
            <w:vAlign w:val="center"/>
            <w:shd w:fill="D9EAF7"/>
          </w:tcPr>
          <w:p>
            <w:r/>
            <w:r>
              <w:rPr>
                <w:rFonts w:ascii="Aptos" w:hAnsi="Aptos"/>
                <w:b/>
                <w:sz w:val="17"/>
              </w:rPr>
              <w:t>ID</w:t>
            </w:r>
          </w:p>
        </w:tc>
        <w:tc>
          <w:tcPr>
            <w:tcW w:type="dxa" w:w="1700"/>
            <w:vAlign w:val="center"/>
            <w:shd w:fill="D9EAF7"/>
          </w:tcPr>
          <w:p>
            <w:r/>
            <w:r>
              <w:rPr>
                <w:rFonts w:ascii="Aptos" w:hAnsi="Aptos"/>
                <w:b/>
                <w:sz w:val="17"/>
              </w:rPr>
              <w:t>Fokuskompetenz</w:t>
            </w:r>
          </w:p>
        </w:tc>
        <w:tc>
          <w:tcPr>
            <w:tcW w:type="dxa" w:w="1700"/>
            <w:vAlign w:val="center"/>
            <w:shd w:fill="D9EAF7"/>
          </w:tcPr>
          <w:p>
            <w:r/>
            <w:r>
              <w:rPr>
                <w:rFonts w:ascii="Aptos" w:hAnsi="Aptos"/>
                <w:b/>
                <w:sz w:val="17"/>
              </w:rPr>
              <w:t>Quellkompetenzen</w:t>
            </w:r>
          </w:p>
        </w:tc>
        <w:tc>
          <w:tcPr>
            <w:tcW w:type="dxa" w:w="1700"/>
            <w:vAlign w:val="center"/>
            <w:shd w:fill="D9EAF7"/>
          </w:tcPr>
          <w:p>
            <w:r/>
            <w:r>
              <w:rPr>
                <w:rFonts w:ascii="Aptos" w:hAnsi="Aptos"/>
                <w:b/>
                <w:sz w:val="17"/>
              </w:rPr>
              <w:t>Prio</w:t>
            </w:r>
          </w:p>
        </w:tc>
        <w:tc>
          <w:tcPr>
            <w:tcW w:type="dxa" w:w="1700"/>
            <w:vAlign w:val="center"/>
            <w:shd w:fill="D9EAF7"/>
          </w:tcPr>
          <w:p>
            <w:r/>
            <w:r>
              <w:rPr>
                <w:rFonts w:ascii="Aptos" w:hAnsi="Aptos"/>
                <w:b/>
                <w:sz w:val="17"/>
              </w:rPr>
              <w:t>Kursziel</w:t>
            </w:r>
          </w:p>
        </w:tc>
        <w:tc>
          <w:tcPr>
            <w:tcW w:type="dxa" w:w="1700"/>
            <w:vAlign w:val="center"/>
            <w:shd w:fill="D9EAF7"/>
          </w:tcPr>
          <w:p>
            <w:r/>
            <w:r>
              <w:rPr>
                <w:rFonts w:ascii="Aptos" w:hAnsi="Aptos"/>
                <w:b/>
                <w:sz w:val="17"/>
              </w:rPr>
              <w:t>Konkretisierung des Zielstands</w:t>
            </w:r>
          </w:p>
        </w:tc>
      </w:tr>
      <w:tr>
        <w:tc>
          <w:tcPr>
            <w:tcW w:type="dxa" w:w="1700"/>
            <w:vAlign w:val="center"/>
          </w:tcPr>
          <w:p>
            <w:r/>
            <w:r>
              <w:rPr>
                <w:rFonts w:ascii="Aptos" w:hAnsi="Aptos"/>
                <w:b/>
                <w:sz w:val="15"/>
              </w:rPr>
              <w:t>F-GV1</w:t>
            </w:r>
          </w:p>
        </w:tc>
        <w:tc>
          <w:tcPr>
            <w:tcW w:type="dxa" w:w="1700"/>
            <w:vAlign w:val="center"/>
          </w:tcPr>
          <w:p>
            <w:r/>
            <w:r>
              <w:rPr>
                <w:rFonts w:ascii="Aptos" w:hAnsi="Aptos"/>
                <w:b w:val="0"/>
                <w:sz w:val="15"/>
              </w:rPr>
              <w:t>Warnsignale und Lageveränderungen wahrnehmen</w:t>
            </w:r>
          </w:p>
        </w:tc>
        <w:tc>
          <w:tcPr>
            <w:tcW w:type="dxa" w:w="1700"/>
            <w:vAlign w:val="center"/>
          </w:tcPr>
          <w:p>
            <w:r/>
            <w:r>
              <w:rPr>
                <w:rFonts w:ascii="Aptos" w:hAnsi="Aptos"/>
                <w:b w:val="0"/>
                <w:sz w:val="15"/>
              </w:rPr>
              <w:t>GV-W1, GV-W2, GV-W3</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Innere und äußere Veränderungen erkennen, Beobachtung von Vermutung trennen und daraus eine erste Handlung ableiten.</w:t>
            </w:r>
          </w:p>
        </w:tc>
      </w:tr>
      <w:tr>
        <w:tc>
          <w:tcPr>
            <w:tcW w:type="dxa" w:w="1700"/>
            <w:vAlign w:val="center"/>
          </w:tcPr>
          <w:p>
            <w:r/>
            <w:r>
              <w:rPr>
                <w:rFonts w:ascii="Aptos" w:hAnsi="Aptos"/>
                <w:b/>
                <w:sz w:val="15"/>
              </w:rPr>
              <w:t>F-GV2</w:t>
            </w:r>
          </w:p>
        </w:tc>
        <w:tc>
          <w:tcPr>
            <w:tcW w:type="dxa" w:w="1700"/>
            <w:vAlign w:val="center"/>
          </w:tcPr>
          <w:p>
            <w:r/>
            <w:r>
              <w:rPr>
                <w:rFonts w:ascii="Aptos" w:hAnsi="Aptos"/>
                <w:b w:val="0"/>
                <w:sz w:val="15"/>
              </w:rPr>
              <w:t>Risikokonstellationen und Wendepunkte erkennen</w:t>
            </w:r>
          </w:p>
        </w:tc>
        <w:tc>
          <w:tcPr>
            <w:tcW w:type="dxa" w:w="1700"/>
            <w:vAlign w:val="center"/>
          </w:tcPr>
          <w:p>
            <w:r/>
            <w:r>
              <w:rPr>
                <w:rFonts w:ascii="Aptos" w:hAnsi="Aptos"/>
                <w:b w:val="0"/>
                <w:sz w:val="15"/>
              </w:rPr>
              <w:t>GV-W4, GV-W5</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Erkennen, wann Verständigung noch sinnvoll ist und wann Begrenzung, Ausstieg, Hilfe oder Selbstschutz Vorrang bekommt.</w:t>
            </w:r>
          </w:p>
        </w:tc>
      </w:tr>
      <w:tr>
        <w:tc>
          <w:tcPr>
            <w:tcW w:type="dxa" w:w="1700"/>
            <w:vAlign w:val="center"/>
          </w:tcPr>
          <w:p>
            <w:r/>
            <w:r>
              <w:rPr>
                <w:rFonts w:ascii="Aptos" w:hAnsi="Aptos"/>
                <w:b/>
                <w:sz w:val="15"/>
              </w:rPr>
              <w:t>F-GV3</w:t>
            </w:r>
          </w:p>
        </w:tc>
        <w:tc>
          <w:tcPr>
            <w:tcW w:type="dxa" w:w="1700"/>
            <w:vAlign w:val="center"/>
          </w:tcPr>
          <w:p>
            <w:r/>
            <w:r>
              <w:rPr>
                <w:rFonts w:ascii="Aptos" w:hAnsi="Aptos"/>
                <w:b w:val="0"/>
                <w:sz w:val="15"/>
              </w:rPr>
              <w:t>Früh handeln, Ziel wählen und Wirkung prüfen</w:t>
            </w:r>
          </w:p>
        </w:tc>
        <w:tc>
          <w:tcPr>
            <w:tcW w:type="dxa" w:w="1700"/>
            <w:vAlign w:val="center"/>
          </w:tcPr>
          <w:p>
            <w:r/>
            <w:r>
              <w:rPr>
                <w:rFonts w:ascii="Aptos" w:hAnsi="Aptos"/>
                <w:b w:val="0"/>
                <w:sz w:val="15"/>
              </w:rPr>
              <w:t>GV-H1, GV-H2, GV-H3</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Eine reversible Schutzhandlung wählen, Wirkung prüfen und bei Bedarf die Strategie wechseln.</w:t>
            </w:r>
          </w:p>
        </w:tc>
      </w:tr>
      <w:tr>
        <w:tc>
          <w:tcPr>
            <w:tcW w:type="dxa" w:w="1700"/>
            <w:vAlign w:val="center"/>
          </w:tcPr>
          <w:p>
            <w:r/>
            <w:r>
              <w:rPr>
                <w:rFonts w:ascii="Aptos" w:hAnsi="Aptos"/>
                <w:b/>
                <w:sz w:val="15"/>
              </w:rPr>
              <w:t>F-GV4</w:t>
            </w:r>
          </w:p>
        </w:tc>
        <w:tc>
          <w:tcPr>
            <w:tcW w:type="dxa" w:w="1700"/>
            <w:vAlign w:val="center"/>
          </w:tcPr>
          <w:p>
            <w:r/>
            <w:r>
              <w:rPr>
                <w:rFonts w:ascii="Aptos" w:hAnsi="Aptos"/>
                <w:b w:val="0"/>
                <w:sz w:val="15"/>
              </w:rPr>
              <w:t>Raum, Distanz, Winkel und Ausstieg nutzen</w:t>
            </w:r>
          </w:p>
        </w:tc>
        <w:tc>
          <w:tcPr>
            <w:tcW w:type="dxa" w:w="1700"/>
            <w:vAlign w:val="center"/>
          </w:tcPr>
          <w:p>
            <w:r/>
            <w:r>
              <w:rPr>
                <w:rFonts w:ascii="Aptos" w:hAnsi="Aptos"/>
                <w:b w:val="0"/>
                <w:sz w:val="15"/>
              </w:rPr>
              <w:t>GV-H4, GV-H5, GV-H7</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Umgebung, Position und Bewegungsrichtung aktiv für Schutz und Ausstieg verwenden.</w:t>
            </w:r>
          </w:p>
        </w:tc>
      </w:tr>
      <w:tr>
        <w:tc>
          <w:tcPr>
            <w:tcW w:type="dxa" w:w="1700"/>
            <w:vAlign w:val="center"/>
          </w:tcPr>
          <w:p>
            <w:r/>
            <w:r>
              <w:rPr>
                <w:rFonts w:ascii="Aptos" w:hAnsi="Aptos"/>
                <w:b/>
                <w:sz w:val="15"/>
              </w:rPr>
              <w:t>F-GV5</w:t>
            </w:r>
          </w:p>
        </w:tc>
        <w:tc>
          <w:tcPr>
            <w:tcW w:type="dxa" w:w="1700"/>
            <w:vAlign w:val="center"/>
          </w:tcPr>
          <w:p>
            <w:r/>
            <w:r>
              <w:rPr>
                <w:rFonts w:ascii="Aptos" w:hAnsi="Aptos"/>
                <w:b w:val="0"/>
                <w:sz w:val="15"/>
              </w:rPr>
              <w:t>Stressreaktionen erkennen und Handlungsfähigkeit vereinfachen</w:t>
            </w:r>
          </w:p>
        </w:tc>
        <w:tc>
          <w:tcPr>
            <w:tcW w:type="dxa" w:w="1700"/>
            <w:vAlign w:val="center"/>
          </w:tcPr>
          <w:p>
            <w:r/>
            <w:r>
              <w:rPr>
                <w:rFonts w:ascii="Aptos" w:hAnsi="Aptos"/>
                <w:b w:val="0"/>
                <w:sz w:val="15"/>
              </w:rPr>
              <w:t>GV-S1, GV-S2, GV-S3, GV-S4</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Unter dosiertem Stress Orientierung herstellen, auf einfache Handlungen zurückgreifen und nach Nichtwirkung weiterhandeln.</w:t>
            </w:r>
          </w:p>
        </w:tc>
      </w:tr>
      <w:tr>
        <w:tc>
          <w:tcPr>
            <w:tcW w:type="dxa" w:w="1700"/>
            <w:vAlign w:val="center"/>
          </w:tcPr>
          <w:p>
            <w:r/>
            <w:r>
              <w:rPr>
                <w:rFonts w:ascii="Aptos" w:hAnsi="Aptos"/>
                <w:b/>
                <w:sz w:val="15"/>
              </w:rPr>
              <w:t>F-GV6</w:t>
            </w:r>
          </w:p>
        </w:tc>
        <w:tc>
          <w:tcPr>
            <w:tcW w:type="dxa" w:w="1700"/>
            <w:vAlign w:val="center"/>
          </w:tcPr>
          <w:p>
            <w:r/>
            <w:r>
              <w:rPr>
                <w:rFonts w:ascii="Aptos" w:hAnsi="Aptos"/>
                <w:b w:val="0"/>
                <w:sz w:val="15"/>
              </w:rPr>
              <w:t>Sexualisierte Grenzüberschreitungen einordnen</w:t>
            </w:r>
          </w:p>
        </w:tc>
        <w:tc>
          <w:tcPr>
            <w:tcW w:type="dxa" w:w="1700"/>
            <w:vAlign w:val="center"/>
          </w:tcPr>
          <w:p>
            <w:r/>
            <w:r>
              <w:rPr>
                <w:rFonts w:ascii="Aptos" w:hAnsi="Aptos"/>
                <w:b w:val="0"/>
                <w:sz w:val="15"/>
              </w:rPr>
              <w:t>GV-W6</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Verbale, nonverbale und körperliche Formen erkennen und Unerwünschtheit, Zustimmung, Macht und Abhängigkeit berücksichtigen.</w:t>
            </w:r>
          </w:p>
        </w:tc>
      </w:tr>
      <w:tr>
        <w:tc>
          <w:tcPr>
            <w:tcW w:type="dxa" w:w="1700"/>
            <w:vAlign w:val="center"/>
          </w:tcPr>
          <w:p>
            <w:r/>
            <w:r>
              <w:rPr>
                <w:rFonts w:ascii="Aptos" w:hAnsi="Aptos"/>
                <w:b/>
                <w:sz w:val="15"/>
              </w:rPr>
              <w:t>F-GV7</w:t>
            </w:r>
          </w:p>
        </w:tc>
        <w:tc>
          <w:tcPr>
            <w:tcW w:type="dxa" w:w="1700"/>
            <w:vAlign w:val="center"/>
          </w:tcPr>
          <w:p>
            <w:r/>
            <w:r>
              <w:rPr>
                <w:rFonts w:ascii="Aptos" w:hAnsi="Aptos"/>
                <w:b w:val="0"/>
                <w:sz w:val="15"/>
              </w:rPr>
              <w:t>Häusliche Gewalt und Kontrollmuster einordnen</w:t>
            </w:r>
          </w:p>
        </w:tc>
        <w:tc>
          <w:tcPr>
            <w:tcW w:type="dxa" w:w="1700"/>
            <w:vAlign w:val="center"/>
          </w:tcPr>
          <w:p>
            <w:r/>
            <w:r>
              <w:rPr>
                <w:rFonts w:ascii="Aptos" w:hAnsi="Aptos"/>
                <w:b w:val="0"/>
                <w:sz w:val="15"/>
              </w:rPr>
              <w:t>GV-W7</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R2</w:t>
            </w:r>
          </w:p>
        </w:tc>
        <w:tc>
          <w:tcPr>
            <w:tcW w:type="dxa" w:w="1700"/>
            <w:vAlign w:val="center"/>
          </w:tcPr>
          <w:p>
            <w:r/>
            <w:r>
              <w:rPr>
                <w:rFonts w:ascii="Aptos" w:hAnsi="Aptos"/>
                <w:b w:val="0"/>
                <w:sz w:val="15"/>
              </w:rPr>
              <w:t>Gewöhnlichen Streit von Kontrolle, Drohung, wiederkehrender Gewalt und eingeschränkter Handlungsfreiheit unterscheiden.</w:t>
            </w:r>
          </w:p>
        </w:tc>
      </w:tr>
      <w:tr>
        <w:tc>
          <w:tcPr>
            <w:tcW w:type="dxa" w:w="1700"/>
            <w:vAlign w:val="center"/>
          </w:tcPr>
          <w:p>
            <w:r/>
            <w:r>
              <w:rPr>
                <w:rFonts w:ascii="Aptos" w:hAnsi="Aptos"/>
                <w:b/>
                <w:sz w:val="15"/>
              </w:rPr>
              <w:t>F-GV8</w:t>
            </w:r>
          </w:p>
        </w:tc>
        <w:tc>
          <w:tcPr>
            <w:tcW w:type="dxa" w:w="1700"/>
            <w:vAlign w:val="center"/>
          </w:tcPr>
          <w:p>
            <w:r/>
            <w:r>
              <w:rPr>
                <w:rFonts w:ascii="Aptos" w:hAnsi="Aptos"/>
                <w:b w:val="0"/>
                <w:sz w:val="15"/>
              </w:rPr>
              <w:t>Unterstützung und persönliche Sicherheitsoptionen vorbereiten</w:t>
            </w:r>
          </w:p>
        </w:tc>
        <w:tc>
          <w:tcPr>
            <w:tcW w:type="dxa" w:w="1700"/>
            <w:vAlign w:val="center"/>
          </w:tcPr>
          <w:p>
            <w:r/>
            <w:r>
              <w:rPr>
                <w:rFonts w:ascii="Aptos" w:hAnsi="Aptos"/>
                <w:b w:val="0"/>
                <w:sz w:val="15"/>
              </w:rPr>
              <w:t>GV-H6, GV-H8, GV-H9</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Für eigene Kontexte Begleitung, Rückmeldung, sichere Orte, Hilfspersonen und Ersatzoptionen planen.</w:t>
            </w:r>
          </w:p>
        </w:tc>
      </w:tr>
    </w:tbl>
    <w:p/>
    <w:p>
      <w:pPr>
        <w:pStyle w:val="Heading2"/>
      </w:pPr>
      <w:r>
        <w:t>5.2 Selbstbehauptung – Grenze, Deeskalation, Ausstieg und Hilfe</w:t>
      </w:r>
    </w:p>
    <w:tbl>
      <w:tblPr>
        <w:tblStyle w:val="TableGrid"/>
        <w:tblW w:type="auto" w:w="0"/>
        <w:jc w:val="center"/>
        <w:tblLook w:firstColumn="1" w:firstRow="1" w:lastColumn="0" w:lastRow="0" w:noHBand="0" w:noVBand="1" w:val="04A0"/>
      </w:tblPr>
      <w:tblGrid>
        <w:gridCol w:w="1700"/>
        <w:gridCol w:w="1700"/>
        <w:gridCol w:w="1700"/>
        <w:gridCol w:w="1700"/>
        <w:gridCol w:w="1700"/>
        <w:gridCol w:w="1700"/>
      </w:tblGrid>
      <w:tr>
        <w:tc>
          <w:tcPr>
            <w:tcW w:type="dxa" w:w="1700"/>
            <w:vAlign w:val="center"/>
            <w:shd w:fill="D9EAF7"/>
          </w:tcPr>
          <w:p>
            <w:r/>
            <w:r>
              <w:rPr>
                <w:rFonts w:ascii="Aptos" w:hAnsi="Aptos"/>
                <w:b/>
                <w:sz w:val="17"/>
              </w:rPr>
              <w:t>ID</w:t>
            </w:r>
          </w:p>
        </w:tc>
        <w:tc>
          <w:tcPr>
            <w:tcW w:type="dxa" w:w="1700"/>
            <w:vAlign w:val="center"/>
            <w:shd w:fill="D9EAF7"/>
          </w:tcPr>
          <w:p>
            <w:r/>
            <w:r>
              <w:rPr>
                <w:rFonts w:ascii="Aptos" w:hAnsi="Aptos"/>
                <w:b/>
                <w:sz w:val="17"/>
              </w:rPr>
              <w:t>Fokuskompetenz</w:t>
            </w:r>
          </w:p>
        </w:tc>
        <w:tc>
          <w:tcPr>
            <w:tcW w:type="dxa" w:w="1700"/>
            <w:vAlign w:val="center"/>
            <w:shd w:fill="D9EAF7"/>
          </w:tcPr>
          <w:p>
            <w:r/>
            <w:r>
              <w:rPr>
                <w:rFonts w:ascii="Aptos" w:hAnsi="Aptos"/>
                <w:b/>
                <w:sz w:val="17"/>
              </w:rPr>
              <w:t>Quellkompetenzen</w:t>
            </w:r>
          </w:p>
        </w:tc>
        <w:tc>
          <w:tcPr>
            <w:tcW w:type="dxa" w:w="1700"/>
            <w:vAlign w:val="center"/>
            <w:shd w:fill="D9EAF7"/>
          </w:tcPr>
          <w:p>
            <w:r/>
            <w:r>
              <w:rPr>
                <w:rFonts w:ascii="Aptos" w:hAnsi="Aptos"/>
                <w:b/>
                <w:sz w:val="17"/>
              </w:rPr>
              <w:t>Prio</w:t>
            </w:r>
          </w:p>
        </w:tc>
        <w:tc>
          <w:tcPr>
            <w:tcW w:type="dxa" w:w="1700"/>
            <w:vAlign w:val="center"/>
            <w:shd w:fill="D9EAF7"/>
          </w:tcPr>
          <w:p>
            <w:r/>
            <w:r>
              <w:rPr>
                <w:rFonts w:ascii="Aptos" w:hAnsi="Aptos"/>
                <w:b/>
                <w:sz w:val="17"/>
              </w:rPr>
              <w:t>Kursziel</w:t>
            </w:r>
          </w:p>
        </w:tc>
        <w:tc>
          <w:tcPr>
            <w:tcW w:type="dxa" w:w="1700"/>
            <w:vAlign w:val="center"/>
            <w:shd w:fill="D9EAF7"/>
          </w:tcPr>
          <w:p>
            <w:r/>
            <w:r>
              <w:rPr>
                <w:rFonts w:ascii="Aptos" w:hAnsi="Aptos"/>
                <w:b/>
                <w:sz w:val="17"/>
              </w:rPr>
              <w:t>Konkretisierung des Zielstands</w:t>
            </w:r>
          </w:p>
        </w:tc>
      </w:tr>
      <w:tr>
        <w:tc>
          <w:tcPr>
            <w:tcW w:type="dxa" w:w="1700"/>
            <w:vAlign w:val="center"/>
          </w:tcPr>
          <w:p>
            <w:r/>
            <w:r>
              <w:rPr>
                <w:rFonts w:ascii="Aptos" w:hAnsi="Aptos"/>
                <w:b/>
                <w:sz w:val="15"/>
              </w:rPr>
              <w:t>F-SB1</w:t>
            </w:r>
          </w:p>
        </w:tc>
        <w:tc>
          <w:tcPr>
            <w:tcW w:type="dxa" w:w="1700"/>
            <w:vAlign w:val="center"/>
          </w:tcPr>
          <w:p>
            <w:r/>
            <w:r>
              <w:rPr>
                <w:rFonts w:ascii="Aptos" w:hAnsi="Aptos"/>
                <w:b w:val="0"/>
                <w:sz w:val="15"/>
              </w:rPr>
              <w:t>Stabiler, beweglicher Stand und nonverbale Grenze</w:t>
            </w:r>
          </w:p>
        </w:tc>
        <w:tc>
          <w:tcPr>
            <w:tcW w:type="dxa" w:w="1700"/>
            <w:vAlign w:val="center"/>
          </w:tcPr>
          <w:p>
            <w:r/>
            <w:r>
              <w:rPr>
                <w:rFonts w:ascii="Aptos" w:hAnsi="Aptos"/>
                <w:b w:val="0"/>
                <w:sz w:val="15"/>
              </w:rPr>
              <w:t>SB-K1, SB-K2</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Körperausrichtung, Handzeichen und Position so einsetzen, dass Sprechen, Bewegung und Ausstieg möglich bleiben.</w:t>
            </w:r>
          </w:p>
        </w:tc>
      </w:tr>
      <w:tr>
        <w:tc>
          <w:tcPr>
            <w:tcW w:type="dxa" w:w="1700"/>
            <w:vAlign w:val="center"/>
          </w:tcPr>
          <w:p>
            <w:r/>
            <w:r>
              <w:rPr>
                <w:rFonts w:ascii="Aptos" w:hAnsi="Aptos"/>
                <w:b/>
                <w:sz w:val="15"/>
              </w:rPr>
              <w:t>F-SB2</w:t>
            </w:r>
          </w:p>
        </w:tc>
        <w:tc>
          <w:tcPr>
            <w:tcW w:type="dxa" w:w="1700"/>
            <w:vAlign w:val="center"/>
          </w:tcPr>
          <w:p>
            <w:r/>
            <w:r>
              <w:rPr>
                <w:rFonts w:ascii="Aptos" w:hAnsi="Aptos"/>
                <w:b w:val="0"/>
                <w:sz w:val="15"/>
              </w:rPr>
              <w:t>Kurze Sprache, STOP und klare Grenzsätze</w:t>
            </w:r>
          </w:p>
        </w:tc>
        <w:tc>
          <w:tcPr>
            <w:tcW w:type="dxa" w:w="1700"/>
            <w:vAlign w:val="center"/>
          </w:tcPr>
          <w:p>
            <w:r/>
            <w:r>
              <w:rPr>
                <w:rFonts w:ascii="Aptos" w:hAnsi="Aptos"/>
                <w:b w:val="0"/>
                <w:sz w:val="15"/>
              </w:rPr>
              <w:t>SB-K3, SB-K4</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Unter Belastung kurze, adressierte und verständliche Grenzaussagen einsetzen.</w:t>
            </w:r>
          </w:p>
        </w:tc>
      </w:tr>
      <w:tr>
        <w:tc>
          <w:tcPr>
            <w:tcW w:type="dxa" w:w="1700"/>
            <w:vAlign w:val="center"/>
          </w:tcPr>
          <w:p>
            <w:r/>
            <w:r>
              <w:rPr>
                <w:rFonts w:ascii="Aptos" w:hAnsi="Aptos"/>
                <w:b/>
                <w:sz w:val="15"/>
              </w:rPr>
              <w:t>F-SB3</w:t>
            </w:r>
          </w:p>
        </w:tc>
        <w:tc>
          <w:tcPr>
            <w:tcW w:type="dxa" w:w="1700"/>
            <w:vAlign w:val="center"/>
          </w:tcPr>
          <w:p>
            <w:r/>
            <w:r>
              <w:rPr>
                <w:rFonts w:ascii="Aptos" w:hAnsi="Aptos"/>
                <w:b w:val="0"/>
                <w:sz w:val="15"/>
              </w:rPr>
              <w:t>Intensität steigern und auf Missachtung reagieren</w:t>
            </w:r>
          </w:p>
        </w:tc>
        <w:tc>
          <w:tcPr>
            <w:tcW w:type="dxa" w:w="1700"/>
            <w:vAlign w:val="center"/>
          </w:tcPr>
          <w:p>
            <w:r/>
            <w:r>
              <w:rPr>
                <w:rFonts w:ascii="Aptos" w:hAnsi="Aptos"/>
                <w:b w:val="0"/>
                <w:sz w:val="15"/>
              </w:rPr>
              <w:t>SB-K5, SB-K6, SB-K7</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Von ruhiger Grenze zu hörbarer Öffentlichkeit oder körperlicher Kontaktunterbrechung wechseln und eine Anschlussaktion umsetzen.</w:t>
            </w:r>
          </w:p>
        </w:tc>
      </w:tr>
      <w:tr>
        <w:tc>
          <w:tcPr>
            <w:tcW w:type="dxa" w:w="1700"/>
            <w:vAlign w:val="center"/>
          </w:tcPr>
          <w:p>
            <w:r/>
            <w:r>
              <w:rPr>
                <w:rFonts w:ascii="Aptos" w:hAnsi="Aptos"/>
                <w:b/>
                <w:sz w:val="15"/>
              </w:rPr>
              <w:t>F-SB4</w:t>
            </w:r>
          </w:p>
        </w:tc>
        <w:tc>
          <w:tcPr>
            <w:tcW w:type="dxa" w:w="1700"/>
            <w:vAlign w:val="center"/>
          </w:tcPr>
          <w:p>
            <w:r/>
            <w:r>
              <w:rPr>
                <w:rFonts w:ascii="Aptos" w:hAnsi="Aptos"/>
                <w:b w:val="0"/>
                <w:sz w:val="15"/>
              </w:rPr>
              <w:t>Noch steuerbare Situationen deeskalieren</w:t>
            </w:r>
          </w:p>
        </w:tc>
        <w:tc>
          <w:tcPr>
            <w:tcW w:type="dxa" w:w="1700"/>
            <w:vAlign w:val="center"/>
          </w:tcPr>
          <w:p>
            <w:r/>
            <w:r>
              <w:rPr>
                <w:rFonts w:ascii="Aptos" w:hAnsi="Aptos"/>
                <w:b w:val="0"/>
                <w:sz w:val="15"/>
              </w:rPr>
              <w:t>SB-D1, SB-D2</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Eigenes Tempo steuern, Situation verlangsamen und unnötige Eskalation vermeiden, ohne die eigene Grenze aufzugeben.</w:t>
            </w:r>
          </w:p>
        </w:tc>
      </w:tr>
      <w:tr>
        <w:tc>
          <w:tcPr>
            <w:tcW w:type="dxa" w:w="1700"/>
            <w:vAlign w:val="center"/>
          </w:tcPr>
          <w:p>
            <w:r/>
            <w:r>
              <w:rPr>
                <w:rFonts w:ascii="Aptos" w:hAnsi="Aptos"/>
                <w:b/>
                <w:sz w:val="15"/>
              </w:rPr>
              <w:t>F-SB5</w:t>
            </w:r>
          </w:p>
        </w:tc>
        <w:tc>
          <w:tcPr>
            <w:tcW w:type="dxa" w:w="1700"/>
            <w:vAlign w:val="center"/>
          </w:tcPr>
          <w:p>
            <w:r/>
            <w:r>
              <w:rPr>
                <w:rFonts w:ascii="Aptos" w:hAnsi="Aptos"/>
                <w:b w:val="0"/>
                <w:sz w:val="15"/>
              </w:rPr>
              <w:t>Gespräch begrenzen und Rechtfertigungsschleifen verlassen</w:t>
            </w:r>
          </w:p>
        </w:tc>
        <w:tc>
          <w:tcPr>
            <w:tcW w:type="dxa" w:w="1700"/>
            <w:vAlign w:val="center"/>
          </w:tcPr>
          <w:p>
            <w:r/>
            <w:r>
              <w:rPr>
                <w:rFonts w:ascii="Aptos" w:hAnsi="Aptos"/>
                <w:b w:val="0"/>
                <w:sz w:val="15"/>
              </w:rPr>
              <w:t>SB-D3, SB-D4</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Thema, Ton, Dauer oder Rahmen begrenzen und zu Ziel, Grenze oder Ausstieg zurückkehren.</w:t>
            </w:r>
          </w:p>
        </w:tc>
      </w:tr>
      <w:tr>
        <w:tc>
          <w:tcPr>
            <w:tcW w:type="dxa" w:w="1700"/>
            <w:vAlign w:val="center"/>
          </w:tcPr>
          <w:p>
            <w:r/>
            <w:r>
              <w:rPr>
                <w:rFonts w:ascii="Aptos" w:hAnsi="Aptos"/>
                <w:b/>
                <w:sz w:val="15"/>
              </w:rPr>
              <w:t>F-SB6</w:t>
            </w:r>
          </w:p>
        </w:tc>
        <w:tc>
          <w:tcPr>
            <w:tcW w:type="dxa" w:w="1700"/>
            <w:vAlign w:val="center"/>
          </w:tcPr>
          <w:p>
            <w:r/>
            <w:r>
              <w:rPr>
                <w:rFonts w:ascii="Aptos" w:hAnsi="Aptos"/>
                <w:b w:val="0"/>
                <w:sz w:val="15"/>
              </w:rPr>
              <w:t>Kontakt beenden und Zielwechsel vollziehen</w:t>
            </w:r>
          </w:p>
        </w:tc>
        <w:tc>
          <w:tcPr>
            <w:tcW w:type="dxa" w:w="1700"/>
            <w:vAlign w:val="center"/>
          </w:tcPr>
          <w:p>
            <w:r/>
            <w:r>
              <w:rPr>
                <w:rFonts w:ascii="Aptos" w:hAnsi="Aptos"/>
                <w:b w:val="0"/>
                <w:sz w:val="15"/>
              </w:rPr>
              <w:t>SB-D5, SB-D6, SB-D7</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Von Klärung zu Begrenzung, Ausstieg oder Selbstschutz wechseln und das Gespräch tatsächlich beenden.</w:t>
            </w:r>
          </w:p>
        </w:tc>
      </w:tr>
      <w:tr>
        <w:tc>
          <w:tcPr>
            <w:tcW w:type="dxa" w:w="1700"/>
            <w:vAlign w:val="center"/>
          </w:tcPr>
          <w:p>
            <w:r/>
            <w:r>
              <w:rPr>
                <w:rFonts w:ascii="Aptos" w:hAnsi="Aptos"/>
                <w:b/>
                <w:sz w:val="15"/>
              </w:rPr>
              <w:t>F-SB7</w:t>
            </w:r>
          </w:p>
        </w:tc>
        <w:tc>
          <w:tcPr>
            <w:tcW w:type="dxa" w:w="1700"/>
            <w:vAlign w:val="center"/>
          </w:tcPr>
          <w:p>
            <w:r/>
            <w:r>
              <w:rPr>
                <w:rFonts w:ascii="Aptos" w:hAnsi="Aptos"/>
                <w:b w:val="0"/>
                <w:sz w:val="15"/>
              </w:rPr>
              <w:t>Konkrete Hilfe und Öffentlichkeit aktivieren</w:t>
            </w:r>
          </w:p>
        </w:tc>
        <w:tc>
          <w:tcPr>
            <w:tcW w:type="dxa" w:w="1700"/>
            <w:vAlign w:val="center"/>
          </w:tcPr>
          <w:p>
            <w:r/>
            <w:r>
              <w:rPr>
                <w:rFonts w:ascii="Aptos" w:hAnsi="Aptos"/>
                <w:b w:val="0"/>
                <w:sz w:val="15"/>
              </w:rPr>
              <w:t>SB-H1, SB-H2, SB-H3</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R4</w:t>
            </w:r>
          </w:p>
        </w:tc>
        <w:tc>
          <w:tcPr>
            <w:tcW w:type="dxa" w:w="1700"/>
            <w:vAlign w:val="center"/>
          </w:tcPr>
          <w:p>
            <w:r/>
            <w:r>
              <w:rPr>
                <w:rFonts w:ascii="Aptos" w:hAnsi="Aptos"/>
                <w:b w:val="0"/>
                <w:sz w:val="15"/>
              </w:rPr>
              <w:t>Eine bestimmte Person oder zuständige Stelle ansprechen, einen Auftrag geben und Öffentlichkeit gezielt nutzen.</w:t>
            </w:r>
          </w:p>
        </w:tc>
      </w:tr>
      <w:tr>
        <w:tc>
          <w:tcPr>
            <w:tcW w:type="dxa" w:w="1700"/>
            <w:vAlign w:val="center"/>
          </w:tcPr>
          <w:p>
            <w:r/>
            <w:r>
              <w:rPr>
                <w:rFonts w:ascii="Aptos" w:hAnsi="Aptos"/>
                <w:b/>
                <w:sz w:val="15"/>
              </w:rPr>
              <w:t>F-SB8</w:t>
            </w:r>
          </w:p>
        </w:tc>
        <w:tc>
          <w:tcPr>
            <w:tcW w:type="dxa" w:w="1700"/>
            <w:vAlign w:val="center"/>
          </w:tcPr>
          <w:p>
            <w:r/>
            <w:r>
              <w:rPr>
                <w:rFonts w:ascii="Aptos" w:hAnsi="Aptos"/>
                <w:b w:val="0"/>
                <w:sz w:val="15"/>
              </w:rPr>
              <w:t>Als dritte Person sicher unterstützen</w:t>
            </w:r>
          </w:p>
        </w:tc>
        <w:tc>
          <w:tcPr>
            <w:tcW w:type="dxa" w:w="1700"/>
            <w:vAlign w:val="center"/>
          </w:tcPr>
          <w:p>
            <w:r/>
            <w:r>
              <w:rPr>
                <w:rFonts w:ascii="Aptos" w:hAnsi="Aptos"/>
                <w:b w:val="0"/>
                <w:sz w:val="15"/>
              </w:rPr>
              <w:t>SB-H4, SB-H5, SB-H6</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Direkte Ansprache, Ablenkung, Delegation oder Begleitung wählen, ohne die betroffene Person zu bevormunden oder den Eigenschutz aufzugeben.</w:t>
            </w:r>
          </w:p>
        </w:tc>
      </w:tr>
      <w:tr>
        <w:tc>
          <w:tcPr>
            <w:tcW w:type="dxa" w:w="1700"/>
            <w:vAlign w:val="center"/>
          </w:tcPr>
          <w:p>
            <w:r/>
            <w:r>
              <w:rPr>
                <w:rFonts w:ascii="Aptos" w:hAnsi="Aptos"/>
                <w:b/>
                <w:sz w:val="15"/>
              </w:rPr>
              <w:t>F-SB9</w:t>
            </w:r>
          </w:p>
        </w:tc>
        <w:tc>
          <w:tcPr>
            <w:tcW w:type="dxa" w:w="1700"/>
            <w:vAlign w:val="center"/>
          </w:tcPr>
          <w:p>
            <w:r/>
            <w:r>
              <w:rPr>
                <w:rFonts w:ascii="Aptos" w:hAnsi="Aptos"/>
                <w:b w:val="0"/>
                <w:sz w:val="15"/>
              </w:rPr>
              <w:t>Notruf und Übergabe organisieren</w:t>
            </w:r>
          </w:p>
        </w:tc>
        <w:tc>
          <w:tcPr>
            <w:tcW w:type="dxa" w:w="1700"/>
            <w:vAlign w:val="center"/>
          </w:tcPr>
          <w:p>
            <w:r/>
            <w:r>
              <w:rPr>
                <w:rFonts w:ascii="Aptos" w:hAnsi="Aptos"/>
                <w:b w:val="0"/>
                <w:sz w:val="15"/>
              </w:rPr>
              <w:t>SB-H7</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R2–R3</w:t>
            </w:r>
          </w:p>
        </w:tc>
        <w:tc>
          <w:tcPr>
            <w:tcW w:type="dxa" w:w="1700"/>
            <w:vAlign w:val="center"/>
          </w:tcPr>
          <w:p>
            <w:r/>
            <w:r>
              <w:rPr>
                <w:rFonts w:ascii="Aptos" w:hAnsi="Aptos"/>
                <w:b w:val="0"/>
                <w:sz w:val="15"/>
              </w:rPr>
              <w:t>Ort, Lage und wesentliche Informationen nennen, Aufgaben delegieren und Hilfe einweisen.</w:t>
            </w:r>
          </w:p>
        </w:tc>
      </w:tr>
    </w:tbl>
    <w:p/>
    <w:p>
      <w:pPr>
        <w:pStyle w:val="Heading2"/>
      </w:pPr>
      <w:r>
        <w:t>5.3 Selbstverteidigung – körperliche Handlungsoptionen und Gefahrenprogression</w:t>
      </w:r>
    </w:p>
    <w:tbl>
      <w:tblPr>
        <w:tblStyle w:val="TableGrid"/>
        <w:tblW w:type="auto" w:w="0"/>
        <w:jc w:val="center"/>
        <w:tblLook w:firstColumn="1" w:firstRow="1" w:lastColumn="0" w:lastRow="0" w:noHBand="0" w:noVBand="1" w:val="04A0"/>
      </w:tblPr>
      <w:tblGrid>
        <w:gridCol w:w="1700"/>
        <w:gridCol w:w="1700"/>
        <w:gridCol w:w="1700"/>
        <w:gridCol w:w="1700"/>
        <w:gridCol w:w="1700"/>
        <w:gridCol w:w="1700"/>
      </w:tblGrid>
      <w:tr>
        <w:tc>
          <w:tcPr>
            <w:tcW w:type="dxa" w:w="1700"/>
            <w:vAlign w:val="center"/>
            <w:shd w:fill="D9EAF7"/>
          </w:tcPr>
          <w:p>
            <w:r/>
            <w:r>
              <w:rPr>
                <w:rFonts w:ascii="Aptos" w:hAnsi="Aptos"/>
                <w:b/>
                <w:sz w:val="17"/>
              </w:rPr>
              <w:t>ID</w:t>
            </w:r>
          </w:p>
        </w:tc>
        <w:tc>
          <w:tcPr>
            <w:tcW w:type="dxa" w:w="1700"/>
            <w:vAlign w:val="center"/>
            <w:shd w:fill="D9EAF7"/>
          </w:tcPr>
          <w:p>
            <w:r/>
            <w:r>
              <w:rPr>
                <w:rFonts w:ascii="Aptos" w:hAnsi="Aptos"/>
                <w:b/>
                <w:sz w:val="17"/>
              </w:rPr>
              <w:t>Fokuskompetenz</w:t>
            </w:r>
          </w:p>
        </w:tc>
        <w:tc>
          <w:tcPr>
            <w:tcW w:type="dxa" w:w="1700"/>
            <w:vAlign w:val="center"/>
            <w:shd w:fill="D9EAF7"/>
          </w:tcPr>
          <w:p>
            <w:r/>
            <w:r>
              <w:rPr>
                <w:rFonts w:ascii="Aptos" w:hAnsi="Aptos"/>
                <w:b/>
                <w:sz w:val="17"/>
              </w:rPr>
              <w:t>Quellkompetenzen</w:t>
            </w:r>
          </w:p>
        </w:tc>
        <w:tc>
          <w:tcPr>
            <w:tcW w:type="dxa" w:w="1700"/>
            <w:vAlign w:val="center"/>
            <w:shd w:fill="D9EAF7"/>
          </w:tcPr>
          <w:p>
            <w:r/>
            <w:r>
              <w:rPr>
                <w:rFonts w:ascii="Aptos" w:hAnsi="Aptos"/>
                <w:b/>
                <w:sz w:val="17"/>
              </w:rPr>
              <w:t>Prio</w:t>
            </w:r>
          </w:p>
        </w:tc>
        <w:tc>
          <w:tcPr>
            <w:tcW w:type="dxa" w:w="1700"/>
            <w:vAlign w:val="center"/>
            <w:shd w:fill="D9EAF7"/>
          </w:tcPr>
          <w:p>
            <w:r/>
            <w:r>
              <w:rPr>
                <w:rFonts w:ascii="Aptos" w:hAnsi="Aptos"/>
                <w:b/>
                <w:sz w:val="17"/>
              </w:rPr>
              <w:t>Kursziel</w:t>
            </w:r>
          </w:p>
        </w:tc>
        <w:tc>
          <w:tcPr>
            <w:tcW w:type="dxa" w:w="1700"/>
            <w:vAlign w:val="center"/>
            <w:shd w:fill="D9EAF7"/>
          </w:tcPr>
          <w:p>
            <w:r/>
            <w:r>
              <w:rPr>
                <w:rFonts w:ascii="Aptos" w:hAnsi="Aptos"/>
                <w:b/>
                <w:sz w:val="17"/>
              </w:rPr>
              <w:t>Konkretisierung des Zielstands</w:t>
            </w:r>
          </w:p>
        </w:tc>
      </w:tr>
      <w:tr>
        <w:tc>
          <w:tcPr>
            <w:tcW w:type="dxa" w:w="1700"/>
            <w:vAlign w:val="center"/>
          </w:tcPr>
          <w:p>
            <w:r/>
            <w:r>
              <w:rPr>
                <w:rFonts w:ascii="Aptos" w:hAnsi="Aptos"/>
                <w:b/>
                <w:sz w:val="15"/>
              </w:rPr>
              <w:t>F-SV1</w:t>
            </w:r>
          </w:p>
        </w:tc>
        <w:tc>
          <w:tcPr>
            <w:tcW w:type="dxa" w:w="1700"/>
            <w:vAlign w:val="center"/>
          </w:tcPr>
          <w:p>
            <w:r/>
            <w:r>
              <w:rPr>
                <w:rFonts w:ascii="Aptos" w:hAnsi="Aptos"/>
                <w:b w:val="0"/>
                <w:sz w:val="15"/>
              </w:rPr>
              <w:t>Schutz, Gleichgewicht, Winkel und Körpermechanik</w:t>
            </w:r>
          </w:p>
        </w:tc>
        <w:tc>
          <w:tcPr>
            <w:tcW w:type="dxa" w:w="1700"/>
            <w:vAlign w:val="center"/>
          </w:tcPr>
          <w:p>
            <w:r/>
            <w:r>
              <w:rPr>
                <w:rFonts w:ascii="Aptos" w:hAnsi="Aptos"/>
                <w:b w:val="0"/>
                <w:sz w:val="15"/>
              </w:rPr>
              <w:t>SV-P1, SV-P2, SV-P3</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P3</w:t>
            </w:r>
          </w:p>
        </w:tc>
        <w:tc>
          <w:tcPr>
            <w:tcW w:type="dxa" w:w="1700"/>
            <w:vAlign w:val="center"/>
          </w:tcPr>
          <w:p>
            <w:r/>
            <w:r>
              <w:rPr>
                <w:rFonts w:ascii="Aptos" w:hAnsi="Aptos"/>
                <w:b w:val="0"/>
                <w:sz w:val="15"/>
              </w:rPr>
              <w:t>Kopf, Hals und Körpermitte schützen, Struktur erhalten und mit Schritt, Hüfte und Winkel statt isolierter Kraft arbeiten.</w:t>
            </w:r>
          </w:p>
        </w:tc>
      </w:tr>
      <w:tr>
        <w:tc>
          <w:tcPr>
            <w:tcW w:type="dxa" w:w="1700"/>
            <w:vAlign w:val="center"/>
          </w:tcPr>
          <w:p>
            <w:r/>
            <w:r>
              <w:rPr>
                <w:rFonts w:ascii="Aptos" w:hAnsi="Aptos"/>
                <w:b/>
                <w:sz w:val="15"/>
              </w:rPr>
              <w:t>F-SV2</w:t>
            </w:r>
          </w:p>
        </w:tc>
        <w:tc>
          <w:tcPr>
            <w:tcW w:type="dxa" w:w="1700"/>
            <w:vAlign w:val="center"/>
          </w:tcPr>
          <w:p>
            <w:r/>
            <w:r>
              <w:rPr>
                <w:rFonts w:ascii="Aptos" w:hAnsi="Aptos"/>
                <w:b w:val="0"/>
                <w:sz w:val="15"/>
              </w:rPr>
              <w:t>G1: Annäherung mit Position, Stimme und Ausstieg beantworten</w:t>
            </w:r>
          </w:p>
        </w:tc>
        <w:tc>
          <w:tcPr>
            <w:tcW w:type="dxa" w:w="1700"/>
            <w:vAlign w:val="center"/>
          </w:tcPr>
          <w:p>
            <w:r/>
            <w:r>
              <w:rPr>
                <w:rFonts w:ascii="Aptos" w:hAnsi="Aptos"/>
                <w:b w:val="0"/>
                <w:sz w:val="15"/>
              </w:rPr>
              <w:t>SV-G1</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G1/P4</w:t>
            </w:r>
          </w:p>
        </w:tc>
        <w:tc>
          <w:tcPr>
            <w:tcW w:type="dxa" w:w="1700"/>
            <w:vAlign w:val="center"/>
          </w:tcPr>
          <w:p>
            <w:r/>
            <w:r>
              <w:rPr>
                <w:rFonts w:ascii="Aptos" w:hAnsi="Aptos"/>
                <w:b w:val="0"/>
                <w:sz w:val="15"/>
              </w:rPr>
              <w:t>Selbst entscheiden, ob Ausweichen, STOP, Hilfe oder unmittelbarer Rückzug sinnvoll ist, und die Handlung abschließen.</w:t>
            </w:r>
          </w:p>
        </w:tc>
      </w:tr>
      <w:tr>
        <w:tc>
          <w:tcPr>
            <w:tcW w:type="dxa" w:w="1700"/>
            <w:vAlign w:val="center"/>
          </w:tcPr>
          <w:p>
            <w:r/>
            <w:r>
              <w:rPr>
                <w:rFonts w:ascii="Aptos" w:hAnsi="Aptos"/>
                <w:b/>
                <w:sz w:val="15"/>
              </w:rPr>
              <w:t>F-SV3</w:t>
            </w:r>
          </w:p>
        </w:tc>
        <w:tc>
          <w:tcPr>
            <w:tcW w:type="dxa" w:w="1700"/>
            <w:vAlign w:val="center"/>
          </w:tcPr>
          <w:p>
            <w:r/>
            <w:r>
              <w:rPr>
                <w:rFonts w:ascii="Aptos" w:hAnsi="Aptos"/>
                <w:b w:val="0"/>
                <w:sz w:val="15"/>
              </w:rPr>
              <w:t>G2: Unerwünschte Berührung unterbrechen</w:t>
            </w:r>
          </w:p>
        </w:tc>
        <w:tc>
          <w:tcPr>
            <w:tcW w:type="dxa" w:w="1700"/>
            <w:vAlign w:val="center"/>
          </w:tcPr>
          <w:p>
            <w:r/>
            <w:r>
              <w:rPr>
                <w:rFonts w:ascii="Aptos" w:hAnsi="Aptos"/>
                <w:b w:val="0"/>
                <w:sz w:val="15"/>
              </w:rPr>
              <w:t>SV-G2</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G2/P3</w:t>
            </w:r>
          </w:p>
        </w:tc>
        <w:tc>
          <w:tcPr>
            <w:tcW w:type="dxa" w:w="1700"/>
            <w:vAlign w:val="center"/>
          </w:tcPr>
          <w:p>
            <w:r/>
            <w:r>
              <w:rPr>
                <w:rFonts w:ascii="Aptos" w:hAnsi="Aptos"/>
                <w:b w:val="0"/>
                <w:sz w:val="15"/>
              </w:rPr>
              <w:t>Kontakt lösen, Distanz herstellen und eine passende Anschlussentscheidung treffen.</w:t>
            </w:r>
          </w:p>
        </w:tc>
      </w:tr>
      <w:tr>
        <w:tc>
          <w:tcPr>
            <w:tcW w:type="dxa" w:w="1700"/>
            <w:vAlign w:val="center"/>
          </w:tcPr>
          <w:p>
            <w:r/>
            <w:r>
              <w:rPr>
                <w:rFonts w:ascii="Aptos" w:hAnsi="Aptos"/>
                <w:b/>
                <w:sz w:val="15"/>
              </w:rPr>
              <w:t>F-SV4</w:t>
            </w:r>
          </w:p>
        </w:tc>
        <w:tc>
          <w:tcPr>
            <w:tcW w:type="dxa" w:w="1700"/>
            <w:vAlign w:val="center"/>
          </w:tcPr>
          <w:p>
            <w:r/>
            <w:r>
              <w:rPr>
                <w:rFonts w:ascii="Aptos" w:hAnsi="Aptos"/>
                <w:b w:val="0"/>
                <w:sz w:val="15"/>
              </w:rPr>
              <w:t>G3: Hand- und Armgriffe lösen</w:t>
            </w:r>
          </w:p>
        </w:tc>
        <w:tc>
          <w:tcPr>
            <w:tcW w:type="dxa" w:w="1700"/>
            <w:vAlign w:val="center"/>
          </w:tcPr>
          <w:p>
            <w:r/>
            <w:r>
              <w:rPr>
                <w:rFonts w:ascii="Aptos" w:hAnsi="Aptos"/>
                <w:b w:val="0"/>
                <w:sz w:val="15"/>
              </w:rPr>
              <w:t>SV-G3a, SV-P4</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G3/P3–P4</w:t>
            </w:r>
          </w:p>
        </w:tc>
        <w:tc>
          <w:tcPr>
            <w:tcW w:type="dxa" w:w="1700"/>
            <w:vAlign w:val="center"/>
          </w:tcPr>
          <w:p>
            <w:r/>
            <w:r>
              <w:rPr>
                <w:rFonts w:ascii="Aptos" w:hAnsi="Aptos"/>
                <w:b w:val="0"/>
                <w:sz w:val="15"/>
              </w:rPr>
              <w:t>Einfache ein- und beidhändige Griffe mit robuster Körperbewegung lösen und unmittelbar Distanz oder Flucht anschließen.</w:t>
            </w:r>
          </w:p>
        </w:tc>
      </w:tr>
      <w:tr>
        <w:tc>
          <w:tcPr>
            <w:tcW w:type="dxa" w:w="1700"/>
            <w:vAlign w:val="center"/>
          </w:tcPr>
          <w:p>
            <w:r/>
            <w:r>
              <w:rPr>
                <w:rFonts w:ascii="Aptos" w:hAnsi="Aptos"/>
                <w:b/>
                <w:sz w:val="15"/>
              </w:rPr>
              <w:t>F-SV5</w:t>
            </w:r>
          </w:p>
        </w:tc>
        <w:tc>
          <w:tcPr>
            <w:tcW w:type="dxa" w:w="1700"/>
            <w:vAlign w:val="center"/>
          </w:tcPr>
          <w:p>
            <w:r/>
            <w:r>
              <w:rPr>
                <w:rFonts w:ascii="Aptos" w:hAnsi="Aptos"/>
                <w:b w:val="0"/>
                <w:sz w:val="15"/>
              </w:rPr>
              <w:t>G3: Kleidung, Haare und Umklammerung bearbeiten</w:t>
            </w:r>
          </w:p>
        </w:tc>
        <w:tc>
          <w:tcPr>
            <w:tcW w:type="dxa" w:w="1700"/>
            <w:vAlign w:val="center"/>
          </w:tcPr>
          <w:p>
            <w:r/>
            <w:r>
              <w:rPr>
                <w:rFonts w:ascii="Aptos" w:hAnsi="Aptos"/>
                <w:b w:val="0"/>
                <w:sz w:val="15"/>
              </w:rPr>
              <w:t>SV-G3b, SV-G3c, SV-G3d</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G3/P2–P3</w:t>
            </w:r>
          </w:p>
        </w:tc>
        <w:tc>
          <w:tcPr>
            <w:tcW w:type="dxa" w:w="1700"/>
            <w:vAlign w:val="center"/>
          </w:tcPr>
          <w:p>
            <w:r/>
            <w:r>
              <w:rPr>
                <w:rFonts w:ascii="Aptos" w:hAnsi="Aptos"/>
                <w:b w:val="0"/>
                <w:sz w:val="15"/>
              </w:rPr>
              <w:t>Bei ausgewählten Griffarten Schutz, Struktur, Winkel und Bewegungsraum verbessern und den Zugriff verlassen.</w:t>
            </w:r>
          </w:p>
        </w:tc>
      </w:tr>
      <w:tr>
        <w:tc>
          <w:tcPr>
            <w:tcW w:type="dxa" w:w="1700"/>
            <w:vAlign w:val="center"/>
          </w:tcPr>
          <w:p>
            <w:r/>
            <w:r>
              <w:rPr>
                <w:rFonts w:ascii="Aptos" w:hAnsi="Aptos"/>
                <w:b/>
                <w:sz w:val="15"/>
              </w:rPr>
              <w:t>F-SV6</w:t>
            </w:r>
          </w:p>
        </w:tc>
        <w:tc>
          <w:tcPr>
            <w:tcW w:type="dxa" w:w="1700"/>
            <w:vAlign w:val="center"/>
          </w:tcPr>
          <w:p>
            <w:r/>
            <w:r>
              <w:rPr>
                <w:rFonts w:ascii="Aptos" w:hAnsi="Aptos"/>
                <w:b w:val="0"/>
                <w:sz w:val="15"/>
              </w:rPr>
              <w:t>G4: Wand- und Raumfixierung unterbrechen</w:t>
            </w:r>
          </w:p>
        </w:tc>
        <w:tc>
          <w:tcPr>
            <w:tcW w:type="dxa" w:w="1700"/>
            <w:vAlign w:val="center"/>
          </w:tcPr>
          <w:p>
            <w:r/>
            <w:r>
              <w:rPr>
                <w:rFonts w:ascii="Aptos" w:hAnsi="Aptos"/>
                <w:b w:val="0"/>
                <w:sz w:val="15"/>
              </w:rPr>
              <w:t>SV-G4</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G4/P3</w:t>
            </w:r>
          </w:p>
        </w:tc>
        <w:tc>
          <w:tcPr>
            <w:tcW w:type="dxa" w:w="1700"/>
            <w:vAlign w:val="center"/>
          </w:tcPr>
          <w:p>
            <w:r/>
            <w:r>
              <w:rPr>
                <w:rFonts w:ascii="Aptos" w:hAnsi="Aptos"/>
                <w:b w:val="0"/>
                <w:sz w:val="15"/>
              </w:rPr>
              <w:t>Atem- und Bewegungsraum schaffen, Drucklinie verändern, Fixierung unterbrechen und aussteigen.</w:t>
            </w:r>
          </w:p>
        </w:tc>
      </w:tr>
      <w:tr>
        <w:tc>
          <w:tcPr>
            <w:tcW w:type="dxa" w:w="1700"/>
            <w:vAlign w:val="center"/>
          </w:tcPr>
          <w:p>
            <w:r/>
            <w:r>
              <w:rPr>
                <w:rFonts w:ascii="Aptos" w:hAnsi="Aptos"/>
                <w:b/>
                <w:sz w:val="15"/>
              </w:rPr>
              <w:t>F-SV7</w:t>
            </w:r>
          </w:p>
        </w:tc>
        <w:tc>
          <w:tcPr>
            <w:tcW w:type="dxa" w:w="1700"/>
            <w:vAlign w:val="center"/>
          </w:tcPr>
          <w:p>
            <w:r/>
            <w:r>
              <w:rPr>
                <w:rFonts w:ascii="Aptos" w:hAnsi="Aptos"/>
                <w:b w:val="0"/>
                <w:sz w:val="15"/>
              </w:rPr>
              <w:t>G5: Sexualisierte Griffe im Nahbereich unterbrechen</w:t>
            </w:r>
          </w:p>
        </w:tc>
        <w:tc>
          <w:tcPr>
            <w:tcW w:type="dxa" w:w="1700"/>
            <w:vAlign w:val="center"/>
          </w:tcPr>
          <w:p>
            <w:r/>
            <w:r>
              <w:rPr>
                <w:rFonts w:ascii="Aptos" w:hAnsi="Aptos"/>
                <w:b w:val="0"/>
                <w:sz w:val="15"/>
              </w:rPr>
              <w:t>SV-G5</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G5/P3</w:t>
            </w:r>
          </w:p>
        </w:tc>
        <w:tc>
          <w:tcPr>
            <w:tcW w:type="dxa" w:w="1700"/>
            <w:vAlign w:val="center"/>
          </w:tcPr>
          <w:p>
            <w:r/>
            <w:r>
              <w:rPr>
                <w:rFonts w:ascii="Aptos" w:hAnsi="Aptos"/>
                <w:b w:val="0"/>
                <w:sz w:val="15"/>
              </w:rPr>
              <w:t>Intimen Zugriff technisch oder symbolisch unterbrechen, Schutz und Wirkung herstellen und den Nahbereich verlassen.</w:t>
            </w:r>
          </w:p>
        </w:tc>
      </w:tr>
      <w:tr>
        <w:tc>
          <w:tcPr>
            <w:tcW w:type="dxa" w:w="1700"/>
            <w:vAlign w:val="center"/>
          </w:tcPr>
          <w:p>
            <w:r/>
            <w:r>
              <w:rPr>
                <w:rFonts w:ascii="Aptos" w:hAnsi="Aptos"/>
                <w:b/>
                <w:sz w:val="15"/>
              </w:rPr>
              <w:t>F-SV8</w:t>
            </w:r>
          </w:p>
        </w:tc>
        <w:tc>
          <w:tcPr>
            <w:tcW w:type="dxa" w:w="1700"/>
            <w:vAlign w:val="center"/>
          </w:tcPr>
          <w:p>
            <w:r/>
            <w:r>
              <w:rPr>
                <w:rFonts w:ascii="Aptos" w:hAnsi="Aptos"/>
                <w:b w:val="0"/>
                <w:sz w:val="15"/>
              </w:rPr>
              <w:t>G6: Bodenlage schützen, verbessern und verlassen</w:t>
            </w:r>
          </w:p>
        </w:tc>
        <w:tc>
          <w:tcPr>
            <w:tcW w:type="dxa" w:w="1700"/>
            <w:vAlign w:val="center"/>
          </w:tcPr>
          <w:p>
            <w:r/>
            <w:r>
              <w:rPr>
                <w:rFonts w:ascii="Aptos" w:hAnsi="Aptos"/>
                <w:b w:val="0"/>
                <w:sz w:val="15"/>
              </w:rPr>
              <w:t>SV-G6a, SV-G6b, SV-G6c</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G6/P3</w:t>
            </w:r>
          </w:p>
        </w:tc>
        <w:tc>
          <w:tcPr>
            <w:tcW w:type="dxa" w:w="1700"/>
            <w:vAlign w:val="center"/>
          </w:tcPr>
          <w:p>
            <w:r/>
            <w:r>
              <w:rPr>
                <w:rFonts w:ascii="Aptos" w:hAnsi="Aptos"/>
                <w:b w:val="0"/>
                <w:sz w:val="15"/>
              </w:rPr>
              <w:t>Kopf schützen, Abstand und Winkel mit Beinen verbessern, sicher aufstehen oder eine andere Fluchtoption schaffen.</w:t>
            </w:r>
          </w:p>
        </w:tc>
      </w:tr>
      <w:tr>
        <w:tc>
          <w:tcPr>
            <w:tcW w:type="dxa" w:w="1700"/>
            <w:vAlign w:val="center"/>
          </w:tcPr>
          <w:p>
            <w:r/>
            <w:r>
              <w:rPr>
                <w:rFonts w:ascii="Aptos" w:hAnsi="Aptos"/>
                <w:b/>
                <w:sz w:val="15"/>
              </w:rPr>
              <w:t>F-SV9</w:t>
            </w:r>
          </w:p>
        </w:tc>
        <w:tc>
          <w:tcPr>
            <w:tcW w:type="dxa" w:w="1700"/>
            <w:vAlign w:val="center"/>
          </w:tcPr>
          <w:p>
            <w:r/>
            <w:r>
              <w:rPr>
                <w:rFonts w:ascii="Aptos" w:hAnsi="Aptos"/>
                <w:b w:val="0"/>
                <w:sz w:val="15"/>
              </w:rPr>
              <w:t>G7: Entkleidungs- und Fixierungsversuche bearbeiten</w:t>
            </w:r>
          </w:p>
        </w:tc>
        <w:tc>
          <w:tcPr>
            <w:tcW w:type="dxa" w:w="1700"/>
            <w:vAlign w:val="center"/>
          </w:tcPr>
          <w:p>
            <w:r/>
            <w:r>
              <w:rPr>
                <w:rFonts w:ascii="Aptos" w:hAnsi="Aptos"/>
                <w:b w:val="0"/>
                <w:sz w:val="15"/>
              </w:rPr>
              <w:t>SV-G7</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G7/P2–P3</w:t>
            </w:r>
          </w:p>
        </w:tc>
        <w:tc>
          <w:tcPr>
            <w:tcW w:type="dxa" w:w="1700"/>
            <w:vAlign w:val="center"/>
          </w:tcPr>
          <w:p>
            <w:r/>
            <w:r>
              <w:rPr>
                <w:rFonts w:ascii="Aptos" w:hAnsi="Aptos"/>
                <w:b w:val="0"/>
                <w:sz w:val="15"/>
              </w:rPr>
              <w:t>In kontrollierten Teilaufgaben Atem, Hände, Hüfte, Kleidung und Lagewechsel priorisieren und ein Fluchtfenster schaffen.</w:t>
            </w:r>
          </w:p>
        </w:tc>
      </w:tr>
      <w:tr>
        <w:tc>
          <w:tcPr>
            <w:tcW w:type="dxa" w:w="1700"/>
            <w:vAlign w:val="center"/>
          </w:tcPr>
          <w:p>
            <w:r/>
            <w:r>
              <w:rPr>
                <w:rFonts w:ascii="Aptos" w:hAnsi="Aptos"/>
                <w:b/>
                <w:sz w:val="15"/>
              </w:rPr>
              <w:t>F-SV10</w:t>
            </w:r>
          </w:p>
        </w:tc>
        <w:tc>
          <w:tcPr>
            <w:tcW w:type="dxa" w:w="1700"/>
            <w:vAlign w:val="center"/>
          </w:tcPr>
          <w:p>
            <w:r/>
            <w:r>
              <w:rPr>
                <w:rFonts w:ascii="Aptos" w:hAnsi="Aptos"/>
                <w:b w:val="0"/>
                <w:sz w:val="15"/>
              </w:rPr>
              <w:t>G8: In vergewaltigungsnaher Zwangslage handlungsfähig bleiben</w:t>
            </w:r>
          </w:p>
        </w:tc>
        <w:tc>
          <w:tcPr>
            <w:tcW w:type="dxa" w:w="1700"/>
            <w:vAlign w:val="center"/>
          </w:tcPr>
          <w:p>
            <w:r/>
            <w:r>
              <w:rPr>
                <w:rFonts w:ascii="Aptos" w:hAnsi="Aptos"/>
                <w:b w:val="0"/>
                <w:sz w:val="15"/>
              </w:rPr>
              <w:t>SV-G8</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G8/P2–P3</w:t>
            </w:r>
          </w:p>
        </w:tc>
        <w:tc>
          <w:tcPr>
            <w:tcW w:type="dxa" w:w="1700"/>
            <w:vAlign w:val="center"/>
          </w:tcPr>
          <w:p>
            <w:r/>
            <w:r>
              <w:rPr>
                <w:rFonts w:ascii="Aptos" w:hAnsi="Aptos"/>
                <w:b w:val="0"/>
                <w:sz w:val="15"/>
              </w:rPr>
              <w:t>Mehrere Schutz-, Unterbrechungs-, Schadensbegrenzungs-, Flucht- und Hilfeoptionen kennen und in kontrollierten Teilaufgaben anwenden.</w:t>
            </w:r>
          </w:p>
        </w:tc>
      </w:tr>
      <w:tr>
        <w:tc>
          <w:tcPr>
            <w:tcW w:type="dxa" w:w="1700"/>
            <w:vAlign w:val="center"/>
          </w:tcPr>
          <w:p>
            <w:r/>
            <w:r>
              <w:rPr>
                <w:rFonts w:ascii="Aptos" w:hAnsi="Aptos"/>
                <w:b/>
                <w:sz w:val="15"/>
              </w:rPr>
              <w:t>F-SV11</w:t>
            </w:r>
          </w:p>
        </w:tc>
        <w:tc>
          <w:tcPr>
            <w:tcW w:type="dxa" w:w="1700"/>
            <w:vAlign w:val="center"/>
          </w:tcPr>
          <w:p>
            <w:r/>
            <w:r>
              <w:rPr>
                <w:rFonts w:ascii="Aptos" w:hAnsi="Aptos"/>
                <w:b w:val="0"/>
                <w:sz w:val="15"/>
              </w:rPr>
              <w:t>Wirkung erzeugen und vollständige Fluchtkette abschließen</w:t>
            </w:r>
          </w:p>
        </w:tc>
        <w:tc>
          <w:tcPr>
            <w:tcW w:type="dxa" w:w="1700"/>
            <w:vAlign w:val="center"/>
          </w:tcPr>
          <w:p>
            <w:r/>
            <w:r>
              <w:rPr>
                <w:rFonts w:ascii="Aptos" w:hAnsi="Aptos"/>
                <w:b w:val="0"/>
                <w:sz w:val="15"/>
              </w:rPr>
              <w:t>SV-P5, SV-P6</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P4</w:t>
            </w:r>
          </w:p>
        </w:tc>
        <w:tc>
          <w:tcPr>
            <w:tcW w:type="dxa" w:w="1700"/>
            <w:vAlign w:val="center"/>
          </w:tcPr>
          <w:p>
            <w:r/>
            <w:r>
              <w:rPr>
                <w:rFonts w:ascii="Aptos" w:hAnsi="Aptos"/>
                <w:b w:val="0"/>
                <w:sz w:val="15"/>
              </w:rPr>
              <w:t>Schutz, Lösen oder Gegenhandlung, Distanz, Orientierung, Flucht und Hilfe zu einer vollständigen Handlungskette verbinden.</w:t>
            </w:r>
          </w:p>
        </w:tc>
      </w:tr>
      <w:tr>
        <w:tc>
          <w:tcPr>
            <w:tcW w:type="dxa" w:w="1700"/>
            <w:vAlign w:val="center"/>
          </w:tcPr>
          <w:p>
            <w:r/>
            <w:r>
              <w:rPr>
                <w:rFonts w:ascii="Aptos" w:hAnsi="Aptos"/>
                <w:b/>
                <w:sz w:val="15"/>
              </w:rPr>
              <w:t>F-SV12</w:t>
            </w:r>
          </w:p>
        </w:tc>
        <w:tc>
          <w:tcPr>
            <w:tcW w:type="dxa" w:w="1700"/>
            <w:vAlign w:val="center"/>
          </w:tcPr>
          <w:p>
            <w:r/>
            <w:r>
              <w:rPr>
                <w:rFonts w:ascii="Aptos" w:hAnsi="Aptos"/>
                <w:b w:val="0"/>
                <w:sz w:val="15"/>
              </w:rPr>
              <w:t>Unter dosiertem Widerstand anpassen und wechseln</w:t>
            </w:r>
          </w:p>
        </w:tc>
        <w:tc>
          <w:tcPr>
            <w:tcW w:type="dxa" w:w="1700"/>
            <w:vAlign w:val="center"/>
          </w:tcPr>
          <w:p>
            <w:r/>
            <w:r>
              <w:rPr>
                <w:rFonts w:ascii="Aptos" w:hAnsi="Aptos"/>
                <w:b w:val="0"/>
                <w:sz w:val="15"/>
              </w:rPr>
              <w:t>SV-P7</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P3–P4</w:t>
            </w:r>
          </w:p>
        </w:tc>
        <w:tc>
          <w:tcPr>
            <w:tcW w:type="dxa" w:w="1700"/>
            <w:vAlign w:val="center"/>
          </w:tcPr>
          <w:p>
            <w:r/>
            <w:r>
              <w:rPr>
                <w:rFonts w:ascii="Aptos" w:hAnsi="Aptos"/>
                <w:b w:val="0"/>
                <w:sz w:val="15"/>
              </w:rPr>
              <w:t>Nichtwirkung erkennen, Bewegung oder Strategie verändern und Scheitern einer Einzeltechnik nicht mit Handlungsunfähigkeit gleichsetzen.</w:t>
            </w:r>
          </w:p>
        </w:tc>
      </w:tr>
    </w:tbl>
    <w:p/>
    <w:p>
      <w:pPr>
        <w:pStyle w:val="Heading2"/>
      </w:pPr>
      <w:r>
        <w:t>5.4 Nachsorge, Hilfesystem und persönlicher Transfer</w:t>
      </w:r>
    </w:p>
    <w:tbl>
      <w:tblPr>
        <w:tblStyle w:val="TableGrid"/>
        <w:tblW w:type="auto" w:w="0"/>
        <w:jc w:val="center"/>
        <w:tblLook w:firstColumn="1" w:firstRow="1" w:lastColumn="0" w:lastRow="0" w:noHBand="0" w:noVBand="1" w:val="04A0"/>
      </w:tblPr>
      <w:tblGrid>
        <w:gridCol w:w="1700"/>
        <w:gridCol w:w="1700"/>
        <w:gridCol w:w="1700"/>
        <w:gridCol w:w="1700"/>
        <w:gridCol w:w="1700"/>
        <w:gridCol w:w="1700"/>
      </w:tblGrid>
      <w:tr>
        <w:tc>
          <w:tcPr>
            <w:tcW w:type="dxa" w:w="1700"/>
            <w:vAlign w:val="center"/>
            <w:shd w:fill="D9EAF7"/>
          </w:tcPr>
          <w:p>
            <w:r/>
            <w:r>
              <w:rPr>
                <w:rFonts w:ascii="Aptos" w:hAnsi="Aptos"/>
                <w:b/>
                <w:sz w:val="17"/>
              </w:rPr>
              <w:t>ID</w:t>
            </w:r>
          </w:p>
        </w:tc>
        <w:tc>
          <w:tcPr>
            <w:tcW w:type="dxa" w:w="1700"/>
            <w:vAlign w:val="center"/>
            <w:shd w:fill="D9EAF7"/>
          </w:tcPr>
          <w:p>
            <w:r/>
            <w:r>
              <w:rPr>
                <w:rFonts w:ascii="Aptos" w:hAnsi="Aptos"/>
                <w:b/>
                <w:sz w:val="17"/>
              </w:rPr>
              <w:t>Fokuskompetenz</w:t>
            </w:r>
          </w:p>
        </w:tc>
        <w:tc>
          <w:tcPr>
            <w:tcW w:type="dxa" w:w="1700"/>
            <w:vAlign w:val="center"/>
            <w:shd w:fill="D9EAF7"/>
          </w:tcPr>
          <w:p>
            <w:r/>
            <w:r>
              <w:rPr>
                <w:rFonts w:ascii="Aptos" w:hAnsi="Aptos"/>
                <w:b/>
                <w:sz w:val="17"/>
              </w:rPr>
              <w:t>Quellkompetenzen</w:t>
            </w:r>
          </w:p>
        </w:tc>
        <w:tc>
          <w:tcPr>
            <w:tcW w:type="dxa" w:w="1700"/>
            <w:vAlign w:val="center"/>
            <w:shd w:fill="D9EAF7"/>
          </w:tcPr>
          <w:p>
            <w:r/>
            <w:r>
              <w:rPr>
                <w:rFonts w:ascii="Aptos" w:hAnsi="Aptos"/>
                <w:b/>
                <w:sz w:val="17"/>
              </w:rPr>
              <w:t>Prio</w:t>
            </w:r>
          </w:p>
        </w:tc>
        <w:tc>
          <w:tcPr>
            <w:tcW w:type="dxa" w:w="1700"/>
            <w:vAlign w:val="center"/>
            <w:shd w:fill="D9EAF7"/>
          </w:tcPr>
          <w:p>
            <w:r/>
            <w:r>
              <w:rPr>
                <w:rFonts w:ascii="Aptos" w:hAnsi="Aptos"/>
                <w:b/>
                <w:sz w:val="17"/>
              </w:rPr>
              <w:t>Kursziel</w:t>
            </w:r>
          </w:p>
        </w:tc>
        <w:tc>
          <w:tcPr>
            <w:tcW w:type="dxa" w:w="1700"/>
            <w:vAlign w:val="center"/>
            <w:shd w:fill="D9EAF7"/>
          </w:tcPr>
          <w:p>
            <w:r/>
            <w:r>
              <w:rPr>
                <w:rFonts w:ascii="Aptos" w:hAnsi="Aptos"/>
                <w:b/>
                <w:sz w:val="17"/>
              </w:rPr>
              <w:t>Konkretisierung des Zielstands</w:t>
            </w:r>
          </w:p>
        </w:tc>
      </w:tr>
      <w:tr>
        <w:tc>
          <w:tcPr>
            <w:tcW w:type="dxa" w:w="1700"/>
            <w:vAlign w:val="center"/>
          </w:tcPr>
          <w:p>
            <w:r/>
            <w:r>
              <w:rPr>
                <w:rFonts w:ascii="Aptos" w:hAnsi="Aptos"/>
                <w:b/>
                <w:sz w:val="15"/>
              </w:rPr>
              <w:t>F-Q1</w:t>
            </w:r>
          </w:p>
        </w:tc>
        <w:tc>
          <w:tcPr>
            <w:tcW w:type="dxa" w:w="1700"/>
            <w:vAlign w:val="center"/>
          </w:tcPr>
          <w:p>
            <w:r/>
            <w:r>
              <w:rPr>
                <w:rFonts w:ascii="Aptos" w:hAnsi="Aptos"/>
                <w:b w:val="0"/>
                <w:sz w:val="15"/>
              </w:rPr>
              <w:t>Nach einem Vorfall Sicherheit herstellen und dokumentieren</w:t>
            </w:r>
          </w:p>
        </w:tc>
        <w:tc>
          <w:tcPr>
            <w:tcW w:type="dxa" w:w="1700"/>
            <w:vAlign w:val="center"/>
          </w:tcPr>
          <w:p>
            <w:r/>
            <w:r>
              <w:rPr>
                <w:rFonts w:ascii="Aptos" w:hAnsi="Aptos"/>
                <w:b w:val="0"/>
                <w:sz w:val="15"/>
              </w:rPr>
              <w:t>Q-N1, Q-N2</w:t>
            </w:r>
          </w:p>
        </w:tc>
        <w:tc>
          <w:tcPr>
            <w:tcW w:type="dxa" w:w="1700"/>
            <w:vAlign w:val="center"/>
          </w:tcPr>
          <w:p>
            <w:r/>
            <w:r>
              <w:rPr>
                <w:rFonts w:ascii="Aptos" w:hAnsi="Aptos"/>
                <w:b w:val="0"/>
                <w:sz w:val="15"/>
              </w:rPr>
              <w:t>E</w:t>
            </w:r>
          </w:p>
        </w:tc>
        <w:tc>
          <w:tcPr>
            <w:tcW w:type="dxa" w:w="1700"/>
            <w:vAlign w:val="center"/>
          </w:tcPr>
          <w:p>
            <w:r/>
            <w:r>
              <w:rPr>
                <w:rFonts w:ascii="Aptos" w:hAnsi="Aptos"/>
                <w:b w:val="0"/>
                <w:sz w:val="15"/>
              </w:rPr>
              <w:t>R2</w:t>
            </w:r>
          </w:p>
        </w:tc>
        <w:tc>
          <w:tcPr>
            <w:tcW w:type="dxa" w:w="1700"/>
            <w:vAlign w:val="center"/>
          </w:tcPr>
          <w:p>
            <w:r/>
            <w:r>
              <w:rPr>
                <w:rFonts w:ascii="Aptos" w:hAnsi="Aptos"/>
                <w:b w:val="0"/>
                <w:sz w:val="15"/>
              </w:rPr>
              <w:t>Sicheren Ort oder Person aufsuchen und relevante Informationen sichern, ohne akute Hilfe zu verzögern.</w:t>
            </w:r>
          </w:p>
        </w:tc>
      </w:tr>
      <w:tr>
        <w:tc>
          <w:tcPr>
            <w:tcW w:type="dxa" w:w="1700"/>
            <w:vAlign w:val="center"/>
          </w:tcPr>
          <w:p>
            <w:r/>
            <w:r>
              <w:rPr>
                <w:rFonts w:ascii="Aptos" w:hAnsi="Aptos"/>
                <w:b/>
                <w:sz w:val="15"/>
              </w:rPr>
              <w:t>F-Q2</w:t>
            </w:r>
          </w:p>
        </w:tc>
        <w:tc>
          <w:tcPr>
            <w:tcW w:type="dxa" w:w="1700"/>
            <w:vAlign w:val="center"/>
          </w:tcPr>
          <w:p>
            <w:r/>
            <w:r>
              <w:rPr>
                <w:rFonts w:ascii="Aptos" w:hAnsi="Aptos"/>
                <w:b w:val="0"/>
                <w:sz w:val="15"/>
              </w:rPr>
              <w:t>Hilfs-, Beschwerde- und Versorgungswege nutzen</w:t>
            </w:r>
          </w:p>
        </w:tc>
        <w:tc>
          <w:tcPr>
            <w:tcW w:type="dxa" w:w="1700"/>
            <w:vAlign w:val="center"/>
          </w:tcPr>
          <w:p>
            <w:r/>
            <w:r>
              <w:rPr>
                <w:rFonts w:ascii="Aptos" w:hAnsi="Aptos"/>
                <w:b w:val="0"/>
                <w:sz w:val="15"/>
              </w:rPr>
              <w:t>Q-N3, Q-N5</w:t>
            </w:r>
          </w:p>
        </w:tc>
        <w:tc>
          <w:tcPr>
            <w:tcW w:type="dxa" w:w="1700"/>
            <w:vAlign w:val="center"/>
          </w:tcPr>
          <w:p>
            <w:r/>
            <w:r>
              <w:rPr>
                <w:rFonts w:ascii="Aptos" w:hAnsi="Aptos"/>
                <w:b w:val="0"/>
                <w:sz w:val="15"/>
              </w:rPr>
              <w:t>O</w:t>
            </w:r>
          </w:p>
        </w:tc>
        <w:tc>
          <w:tcPr>
            <w:tcW w:type="dxa" w:w="1700"/>
            <w:vAlign w:val="center"/>
          </w:tcPr>
          <w:p>
            <w:r/>
            <w:r>
              <w:rPr>
                <w:rFonts w:ascii="Aptos" w:hAnsi="Aptos"/>
                <w:b w:val="0"/>
                <w:sz w:val="15"/>
              </w:rPr>
              <w:t>R1–R2</w:t>
            </w:r>
          </w:p>
        </w:tc>
        <w:tc>
          <w:tcPr>
            <w:tcW w:type="dxa" w:w="1700"/>
            <w:vAlign w:val="center"/>
          </w:tcPr>
          <w:p>
            <w:r/>
            <w:r>
              <w:rPr>
                <w:rFonts w:ascii="Aptos" w:hAnsi="Aptos"/>
                <w:b w:val="0"/>
                <w:sz w:val="15"/>
              </w:rPr>
              <w:t>Für Arbeitsplatz, Schule, Partnerschaft oder sexualisierte Gewalt eine erste geeignete Anlaufstelle bestimmen.</w:t>
            </w:r>
          </w:p>
        </w:tc>
      </w:tr>
      <w:tr>
        <w:tc>
          <w:tcPr>
            <w:tcW w:type="dxa" w:w="1700"/>
            <w:vAlign w:val="center"/>
          </w:tcPr>
          <w:p>
            <w:r/>
            <w:r>
              <w:rPr>
                <w:rFonts w:ascii="Aptos" w:hAnsi="Aptos"/>
                <w:b/>
                <w:sz w:val="15"/>
              </w:rPr>
              <w:t>F-Q3</w:t>
            </w:r>
          </w:p>
        </w:tc>
        <w:tc>
          <w:tcPr>
            <w:tcW w:type="dxa" w:w="1700"/>
            <w:vAlign w:val="center"/>
          </w:tcPr>
          <w:p>
            <w:r/>
            <w:r>
              <w:rPr>
                <w:rFonts w:ascii="Aptos" w:hAnsi="Aptos"/>
                <w:b w:val="0"/>
                <w:sz w:val="15"/>
              </w:rPr>
              <w:t>Rechtliche Grundorientierung</w:t>
            </w:r>
          </w:p>
        </w:tc>
        <w:tc>
          <w:tcPr>
            <w:tcW w:type="dxa" w:w="1700"/>
            <w:vAlign w:val="center"/>
          </w:tcPr>
          <w:p>
            <w:r/>
            <w:r>
              <w:rPr>
                <w:rFonts w:ascii="Aptos" w:hAnsi="Aptos"/>
                <w:b w:val="0"/>
                <w:sz w:val="15"/>
              </w:rPr>
              <w:t>Q-N4</w:t>
            </w:r>
          </w:p>
        </w:tc>
        <w:tc>
          <w:tcPr>
            <w:tcW w:type="dxa" w:w="1700"/>
            <w:vAlign w:val="center"/>
          </w:tcPr>
          <w:p>
            <w:r/>
            <w:r>
              <w:rPr>
                <w:rFonts w:ascii="Aptos" w:hAnsi="Aptos"/>
                <w:b w:val="0"/>
                <w:sz w:val="15"/>
              </w:rPr>
              <w:t>O</w:t>
            </w:r>
          </w:p>
        </w:tc>
        <w:tc>
          <w:tcPr>
            <w:tcW w:type="dxa" w:w="1700"/>
            <w:vAlign w:val="center"/>
          </w:tcPr>
          <w:p>
            <w:r/>
            <w:r>
              <w:rPr>
                <w:rFonts w:ascii="Aptos" w:hAnsi="Aptos"/>
                <w:b w:val="0"/>
                <w:sz w:val="15"/>
              </w:rPr>
              <w:t>R1</w:t>
            </w:r>
          </w:p>
        </w:tc>
        <w:tc>
          <w:tcPr>
            <w:tcW w:type="dxa" w:w="1700"/>
            <w:vAlign w:val="center"/>
          </w:tcPr>
          <w:p>
            <w:r/>
            <w:r>
              <w:rPr>
                <w:rFonts w:ascii="Aptos" w:hAnsi="Aptos"/>
                <w:b w:val="0"/>
                <w:sz w:val="15"/>
              </w:rPr>
              <w:t>Grundlinien zu Notwehr, Nothilfe, sexueller Belästigung, Polizei und Gewaltschutz kennen, ohne Einzelfallgarantien abzuleiten.</w:t>
            </w:r>
          </w:p>
        </w:tc>
      </w:tr>
      <w:tr>
        <w:tc>
          <w:tcPr>
            <w:tcW w:type="dxa" w:w="1700"/>
            <w:vAlign w:val="center"/>
          </w:tcPr>
          <w:p>
            <w:r/>
            <w:r>
              <w:rPr>
                <w:rFonts w:ascii="Aptos" w:hAnsi="Aptos"/>
                <w:b/>
                <w:sz w:val="15"/>
              </w:rPr>
              <w:t>F-Q4</w:t>
            </w:r>
          </w:p>
        </w:tc>
        <w:tc>
          <w:tcPr>
            <w:tcW w:type="dxa" w:w="1700"/>
            <w:vAlign w:val="center"/>
          </w:tcPr>
          <w:p>
            <w:r/>
            <w:r>
              <w:rPr>
                <w:rFonts w:ascii="Aptos" w:hAnsi="Aptos"/>
                <w:b w:val="0"/>
                <w:sz w:val="15"/>
              </w:rPr>
              <w:t>Persönlichen Handlungs- und Übungsplan erstellen</w:t>
            </w:r>
          </w:p>
        </w:tc>
        <w:tc>
          <w:tcPr>
            <w:tcW w:type="dxa" w:w="1700"/>
            <w:vAlign w:val="center"/>
          </w:tcPr>
          <w:p>
            <w:r/>
            <w:r>
              <w:rPr>
                <w:rFonts w:ascii="Aptos" w:hAnsi="Aptos"/>
                <w:b w:val="0"/>
                <w:sz w:val="15"/>
              </w:rPr>
              <w:t>Q-N6, GV-S5</w:t>
            </w:r>
          </w:p>
        </w:tc>
        <w:tc>
          <w:tcPr>
            <w:tcW w:type="dxa" w:w="1700"/>
            <w:vAlign w:val="center"/>
          </w:tcPr>
          <w:p>
            <w:r/>
            <w:r>
              <w:rPr>
                <w:rFonts w:ascii="Aptos" w:hAnsi="Aptos"/>
                <w:b w:val="0"/>
                <w:sz w:val="15"/>
              </w:rPr>
              <w:t>K</w:t>
            </w:r>
          </w:p>
        </w:tc>
        <w:tc>
          <w:tcPr>
            <w:tcW w:type="dxa" w:w="1700"/>
            <w:vAlign w:val="center"/>
          </w:tcPr>
          <w:p>
            <w:r/>
            <w:r>
              <w:rPr>
                <w:rFonts w:ascii="Aptos" w:hAnsi="Aptos"/>
                <w:b w:val="0"/>
                <w:sz w:val="15"/>
              </w:rPr>
              <w:t>R3</w:t>
            </w:r>
          </w:p>
        </w:tc>
        <w:tc>
          <w:tcPr>
            <w:tcW w:type="dxa" w:w="1700"/>
            <w:vAlign w:val="center"/>
          </w:tcPr>
          <w:p>
            <w:r/>
            <w:r>
              <w:rPr>
                <w:rFonts w:ascii="Aptos" w:hAnsi="Aptos"/>
                <w:b w:val="0"/>
                <w:sz w:val="15"/>
              </w:rPr>
              <w:t>Eigene Handlungsanker, Hilfspersonen, sichere Orte, Übungswege und realistische Grenzen festhalten.</w:t>
            </w:r>
          </w:p>
        </w:tc>
      </w:tr>
    </w:tbl>
    <w:p/>
    <w:p>
      <w:pPr>
        <w:pStyle w:val="Heading1"/>
      </w:pPr>
      <w:r>
        <w:t>6. Zusammenfassung der Auswahl</w:t>
      </w:r>
    </w:p>
    <w:tbl>
      <w:tblPr>
        <w:tblStyle w:val="TableGrid"/>
        <w:tblW w:type="auto" w:w="0"/>
        <w:jc w:val="center"/>
        <w:tblLook w:firstColumn="1" w:firstRow="1" w:lastColumn="0" w:lastRow="0" w:noHBand="0" w:noVBand="1" w:val="04A0"/>
      </w:tblPr>
      <w:tblGrid>
        <w:gridCol w:w="3400"/>
        <w:gridCol w:w="3400"/>
        <w:gridCol w:w="3400"/>
      </w:tblGrid>
      <w:tr>
        <w:tc>
          <w:tcPr>
            <w:tcW w:type="dxa" w:w="3400"/>
            <w:vAlign w:val="center"/>
            <w:shd w:fill="D9EAF7"/>
          </w:tcPr>
          <w:p>
            <w:r/>
            <w:r>
              <w:rPr>
                <w:rFonts w:ascii="Aptos" w:hAnsi="Aptos"/>
                <w:b/>
                <w:sz w:val="17"/>
              </w:rPr>
              <w:t>Bereich</w:t>
            </w:r>
          </w:p>
        </w:tc>
        <w:tc>
          <w:tcPr>
            <w:tcW w:type="dxa" w:w="3400"/>
            <w:vAlign w:val="center"/>
            <w:shd w:fill="D9EAF7"/>
          </w:tcPr>
          <w:p>
            <w:r/>
            <w:r>
              <w:rPr>
                <w:rFonts w:ascii="Aptos" w:hAnsi="Aptos"/>
                <w:b/>
                <w:sz w:val="17"/>
              </w:rPr>
              <w:t>Fokuskompetenzen</w:t>
            </w:r>
          </w:p>
        </w:tc>
        <w:tc>
          <w:tcPr>
            <w:tcW w:type="dxa" w:w="3400"/>
            <w:vAlign w:val="center"/>
            <w:shd w:fill="D9EAF7"/>
          </w:tcPr>
          <w:p>
            <w:r/>
            <w:r>
              <w:rPr>
                <w:rFonts w:ascii="Aptos" w:hAnsi="Aptos"/>
                <w:b/>
                <w:sz w:val="17"/>
              </w:rPr>
              <w:t>Verteilung</w:t>
            </w:r>
          </w:p>
        </w:tc>
      </w:tr>
      <w:tr>
        <w:tc>
          <w:tcPr>
            <w:tcW w:type="dxa" w:w="3400"/>
            <w:vAlign w:val="center"/>
          </w:tcPr>
          <w:p>
            <w:r/>
            <w:r>
              <w:rPr>
                <w:rFonts w:ascii="Aptos" w:hAnsi="Aptos"/>
                <w:b/>
                <w:sz w:val="17"/>
              </w:rPr>
              <w:t>Gefahrenvermeidung</w:t>
            </w:r>
          </w:p>
        </w:tc>
        <w:tc>
          <w:tcPr>
            <w:tcW w:type="dxa" w:w="3400"/>
            <w:vAlign w:val="center"/>
          </w:tcPr>
          <w:p>
            <w:r/>
            <w:r>
              <w:rPr>
                <w:rFonts w:ascii="Aptos" w:hAnsi="Aptos"/>
                <w:b w:val="0"/>
                <w:sz w:val="17"/>
              </w:rPr>
              <w:t>8</w:t>
            </w:r>
          </w:p>
        </w:tc>
        <w:tc>
          <w:tcPr>
            <w:tcW w:type="dxa" w:w="3400"/>
            <w:vAlign w:val="center"/>
          </w:tcPr>
          <w:p>
            <w:r/>
            <w:r>
              <w:rPr>
                <w:rFonts w:ascii="Aptos" w:hAnsi="Aptos"/>
                <w:b w:val="0"/>
                <w:sz w:val="17"/>
              </w:rPr>
              <w:t>6 K / 2 E / 0 O</w:t>
            </w:r>
          </w:p>
        </w:tc>
      </w:tr>
      <w:tr>
        <w:tc>
          <w:tcPr>
            <w:tcW w:type="dxa" w:w="3400"/>
            <w:vAlign w:val="center"/>
          </w:tcPr>
          <w:p>
            <w:r/>
            <w:r>
              <w:rPr>
                <w:rFonts w:ascii="Aptos" w:hAnsi="Aptos"/>
                <w:b/>
                <w:sz w:val="17"/>
              </w:rPr>
              <w:t>Selbstbehauptung</w:t>
            </w:r>
          </w:p>
        </w:tc>
        <w:tc>
          <w:tcPr>
            <w:tcW w:type="dxa" w:w="3400"/>
            <w:vAlign w:val="center"/>
          </w:tcPr>
          <w:p>
            <w:r/>
            <w:r>
              <w:rPr>
                <w:rFonts w:ascii="Aptos" w:hAnsi="Aptos"/>
                <w:b w:val="0"/>
                <w:sz w:val="17"/>
              </w:rPr>
              <w:t>9</w:t>
            </w:r>
          </w:p>
        </w:tc>
        <w:tc>
          <w:tcPr>
            <w:tcW w:type="dxa" w:w="3400"/>
            <w:vAlign w:val="center"/>
          </w:tcPr>
          <w:p>
            <w:r/>
            <w:r>
              <w:rPr>
                <w:rFonts w:ascii="Aptos" w:hAnsi="Aptos"/>
                <w:b w:val="0"/>
                <w:sz w:val="17"/>
              </w:rPr>
              <w:t>7 K / 2 E / 0 O</w:t>
            </w:r>
          </w:p>
        </w:tc>
      </w:tr>
      <w:tr>
        <w:tc>
          <w:tcPr>
            <w:tcW w:type="dxa" w:w="3400"/>
            <w:vAlign w:val="center"/>
          </w:tcPr>
          <w:p>
            <w:r/>
            <w:r>
              <w:rPr>
                <w:rFonts w:ascii="Aptos" w:hAnsi="Aptos"/>
                <w:b/>
                <w:sz w:val="17"/>
              </w:rPr>
              <w:t>Selbstverteidigung</w:t>
            </w:r>
          </w:p>
        </w:tc>
        <w:tc>
          <w:tcPr>
            <w:tcW w:type="dxa" w:w="3400"/>
            <w:vAlign w:val="center"/>
          </w:tcPr>
          <w:p>
            <w:r/>
            <w:r>
              <w:rPr>
                <w:rFonts w:ascii="Aptos" w:hAnsi="Aptos"/>
                <w:b w:val="0"/>
                <w:sz w:val="17"/>
              </w:rPr>
              <w:t>12</w:t>
            </w:r>
          </w:p>
        </w:tc>
        <w:tc>
          <w:tcPr>
            <w:tcW w:type="dxa" w:w="3400"/>
            <w:vAlign w:val="center"/>
          </w:tcPr>
          <w:p>
            <w:r/>
            <w:r>
              <w:rPr>
                <w:rFonts w:ascii="Aptos" w:hAnsi="Aptos"/>
                <w:b w:val="0"/>
                <w:sz w:val="17"/>
              </w:rPr>
              <w:t>10 K / 2 E / 0 O</w:t>
            </w:r>
          </w:p>
        </w:tc>
      </w:tr>
      <w:tr>
        <w:tc>
          <w:tcPr>
            <w:tcW w:type="dxa" w:w="3400"/>
            <w:vAlign w:val="center"/>
          </w:tcPr>
          <w:p>
            <w:r/>
            <w:r>
              <w:rPr>
                <w:rFonts w:ascii="Aptos" w:hAnsi="Aptos"/>
                <w:b/>
                <w:sz w:val="17"/>
              </w:rPr>
              <w:t>Nachsorge und Transfer</w:t>
            </w:r>
          </w:p>
        </w:tc>
        <w:tc>
          <w:tcPr>
            <w:tcW w:type="dxa" w:w="3400"/>
            <w:vAlign w:val="center"/>
          </w:tcPr>
          <w:p>
            <w:r/>
            <w:r>
              <w:rPr>
                <w:rFonts w:ascii="Aptos" w:hAnsi="Aptos"/>
                <w:b w:val="0"/>
                <w:sz w:val="17"/>
              </w:rPr>
              <w:t>4</w:t>
            </w:r>
          </w:p>
        </w:tc>
        <w:tc>
          <w:tcPr>
            <w:tcW w:type="dxa" w:w="3400"/>
            <w:vAlign w:val="center"/>
          </w:tcPr>
          <w:p>
            <w:r/>
            <w:r>
              <w:rPr>
                <w:rFonts w:ascii="Aptos" w:hAnsi="Aptos"/>
                <w:b w:val="0"/>
                <w:sz w:val="17"/>
              </w:rPr>
              <w:t>1 K / 1 E / 2 O</w:t>
            </w:r>
          </w:p>
        </w:tc>
      </w:tr>
      <w:tr>
        <w:tc>
          <w:tcPr>
            <w:tcW w:type="dxa" w:w="3400"/>
            <w:vAlign w:val="center"/>
          </w:tcPr>
          <w:p>
            <w:r/>
            <w:r>
              <w:rPr>
                <w:rFonts w:ascii="Aptos" w:hAnsi="Aptos"/>
                <w:b/>
                <w:sz w:val="17"/>
              </w:rPr>
              <w:t>Gesamt</w:t>
            </w:r>
          </w:p>
        </w:tc>
        <w:tc>
          <w:tcPr>
            <w:tcW w:type="dxa" w:w="3400"/>
            <w:vAlign w:val="center"/>
          </w:tcPr>
          <w:p>
            <w:r/>
            <w:r>
              <w:rPr>
                <w:rFonts w:ascii="Aptos" w:hAnsi="Aptos"/>
                <w:b w:val="0"/>
                <w:sz w:val="17"/>
              </w:rPr>
              <w:t>33</w:t>
            </w:r>
          </w:p>
        </w:tc>
        <w:tc>
          <w:tcPr>
            <w:tcW w:type="dxa" w:w="3400"/>
            <w:vAlign w:val="center"/>
          </w:tcPr>
          <w:p>
            <w:r/>
            <w:r>
              <w:rPr>
                <w:rFonts w:ascii="Aptos" w:hAnsi="Aptos"/>
                <w:b w:val="0"/>
                <w:sz w:val="17"/>
              </w:rPr>
              <w:t>24 K / 7 E / 2 O</w:t>
            </w:r>
          </w:p>
        </w:tc>
      </w:tr>
    </w:tbl>
    <w:p/>
    <w:p>
      <w:r>
        <w:t>Die Zahl von 33 Fokuskompetenzen bedeutet nicht 33 voneinander getrennte Unterrichtsthemen. Viele werden in denselben Übungen parallel bearbeitet. Eine STOP- und Griffübung kann beispielsweise Raumgestaltung, Grenze, Wirkungskontrolle, Griffbefreiung und Fluchtkette zugleich entwickeln.</w:t>
      </w:r>
    </w:p>
    <w:p>
      <w:pPr>
        <w:pStyle w:val="Heading1"/>
      </w:pPr>
      <w:r>
        <w:t>7. Bewusste Reduktionen und Bündelungen</w:t>
      </w:r>
    </w:p>
    <w:p>
      <w:pPr>
        <w:pStyle w:val="ListBullet"/>
      </w:pPr>
      <w:r>
        <w:t>Die natürliche Distanzwahrnehmung wird nicht als eigener Schwerpunkt geführt, sondern in STOP-, Annäherungs- und Ausstiegsübungen integriert.</w:t>
      </w:r>
    </w:p>
    <w:p>
      <w:pPr>
        <w:pStyle w:val="ListBullet"/>
      </w:pPr>
      <w:r>
        <w:t>Einzelne Stressreaktionen werden nicht als psychologischer Theorieblock behandelt, sondern als handlungsbezogene Orientierung in praktischen Übungen.</w:t>
      </w:r>
    </w:p>
    <w:p>
      <w:pPr>
        <w:pStyle w:val="ListBullet"/>
      </w:pPr>
      <w:r>
        <w:t>Recht, Dokumentation und Hilfesystem werden knapp und anwendungsbezogen vermittelt; sie erhalten keine großen eigenständigen Trainingsblöcke.</w:t>
      </w:r>
    </w:p>
    <w:p>
      <w:pPr>
        <w:pStyle w:val="ListBullet"/>
      </w:pPr>
      <w:r>
        <w:t>Kleidungs-, Haar- und Umklammerungsgriffe bleiben Ergänzungskompetenzen, damit Hand- und Armgriffe, Wandlage, Boden und Fluchtketten ausreichend Übungszeit erhalten.</w:t>
      </w:r>
    </w:p>
    <w:p>
      <w:pPr>
        <w:pStyle w:val="ListBullet"/>
      </w:pPr>
      <w:r>
        <w:t>Drittintervention wird praktisch berücksichtigt, aber nicht in jeder Einheit mitgeführt.</w:t>
      </w:r>
    </w:p>
    <w:p>
      <w:pPr>
        <w:pStyle w:val="ListBullet"/>
      </w:pPr>
      <w:r>
        <w:t>G7 und G8 bleiben Kernbestandteile des Kurses, werden jedoch ausschließlich durch sichere Teilaufgaben und Prinzipientraining bearbeitet, nicht durch realistische Tatnachstellungen.</w:t>
      </w:r>
    </w:p>
    <w:p>
      <w:pPr>
        <w:pStyle w:val="Heading1"/>
      </w:pPr>
      <w:r>
        <w:t>8. Planungsregeln für die nächste 10-Einheiten-Matrix</w:t>
      </w:r>
    </w:p>
    <w:p>
      <w:pPr>
        <w:pStyle w:val="ListBullet"/>
      </w:pPr>
      <w:r>
        <w:t>Eine Einheit erhält höchstens drei neue oder deutlich vertiefte Kernkompetenzen.</w:t>
      </w:r>
    </w:p>
    <w:p>
      <w:pPr>
        <w:pStyle w:val="ListBullet"/>
      </w:pPr>
      <w:r>
        <w:t>Bereits eingeführte Fähigkeiten dürfen in neuen Übungen mitlaufen, ohne erneut als eigenes Lernziel ausgewiesen zu werden.</w:t>
      </w:r>
    </w:p>
    <w:p>
      <w:pPr>
        <w:pStyle w:val="ListBullet"/>
      </w:pPr>
      <w:r>
        <w:t>Motorische Grundfertigkeiten erhalten echte Wiederholungen; kommunikative Fähigkeiten werden möglichst in neuen Kontexten angewandt.</w:t>
      </w:r>
    </w:p>
    <w:p>
      <w:pPr>
        <w:pStyle w:val="ListBullet"/>
      </w:pPr>
      <w:r>
        <w:t>Eine neue Übung muss eine neue Lage, Entscheidung, Rolle, Belastung oder Verknüpfung erzeugen.</w:t>
      </w:r>
    </w:p>
    <w:p>
      <w:pPr>
        <w:pStyle w:val="ListBullet"/>
      </w:pPr>
      <w:r>
        <w:t>Die Gefahrenstufen G1 bis G8 werden nicht als zwingende Reihenfolge unterrichtet; die Verteilung folgt Lernvoraussetzungen und Sicherheitslogik.</w:t>
      </w:r>
    </w:p>
    <w:p>
      <w:pPr>
        <w:pStyle w:val="ListBullet"/>
      </w:pPr>
      <w:r>
        <w:t>Jede körperliche Anwendung endet mit Schutz, Distanz, Orientierung, Flucht oder Hilfe.</w:t>
      </w:r>
    </w:p>
    <w:p>
      <w:pPr>
        <w:pStyle w:val="ListBullet"/>
      </w:pPr>
      <w:r>
        <w:t>Mindestens eine spätere Einheit muss eine integrierte Auswahl ohne vorgegebene Musterlösung ermöglichen.</w:t>
      </w:r>
    </w:p>
    <w:p>
      <w:pPr>
        <w:pStyle w:val="Heading1"/>
      </w:pPr>
      <w:r>
        <w:t>9. Offene Entscheidungen für Schritt 3</w:t>
      </w:r>
    </w:p>
    <w:p>
      <w:pPr>
        <w:pStyle w:val="ListBullet"/>
      </w:pPr>
      <w:r>
        <w:t>In welcher Einheit die Grundform von STOP und die erste Griffbefreiung eingeführt werden.</w:t>
      </w:r>
    </w:p>
    <w:p>
      <w:pPr>
        <w:pStyle w:val="ListBullet"/>
      </w:pPr>
      <w:r>
        <w:t>Wie früh die Gefahrenstufen G4 und G5 beginnen, ohne die ersten Einheiten zu überladen.</w:t>
      </w:r>
    </w:p>
    <w:p>
      <w:pPr>
        <w:pStyle w:val="ListBullet"/>
      </w:pPr>
      <w:r>
        <w:t>Ob Haar-, Kleidungs- und Umklammerungsgriffe in einer gemeinsamen oder in getrennten Anwendungseinheiten vertieft werden.</w:t>
      </w:r>
    </w:p>
    <w:p>
      <w:pPr>
        <w:pStyle w:val="ListBullet"/>
      </w:pPr>
      <w:r>
        <w:t>Wie G7 und G8 zeitlich zwischen Bodenarbeit, Nahdistanz und integrierten Szenarien platziert werden.</w:t>
      </w:r>
    </w:p>
    <w:p>
      <w:pPr>
        <w:pStyle w:val="ListBullet"/>
      </w:pPr>
      <w:r>
        <w:t>Welche Kontexte – Arbeitsplatz, öffentlicher Raum, Partnerschaft, Veranstaltung, fremder Innenraum – die jeweiligen Kompetenzstufen tragen.</w:t>
      </w:r>
    </w:p>
    <w:p>
      <w:pPr>
        <w:pStyle w:val="ListBullet"/>
      </w:pPr>
      <w:r>
        <w:t>Welche Kernkompetenzen am Ende des Kurses in einer integrierten Transferübung überprüft werden.</w:t>
      </w:r>
    </w:p>
    <w:p>
      <w:pPr>
        <w:pStyle w:val="Heading1"/>
      </w:pPr>
      <w:r>
        <w:t>10. Freigabestatus</w:t>
      </w:r>
    </w:p>
    <w:p>
      <w:r>
        <w:t>Dieses Dokument legt die Fokuskompetenzen, ihre Priorität und den angestrebten Zielstand für den 10-Einheiten-Kurs fest. Die zeitliche Verteilung ist bewusst noch offen und erfolgt im nächsten Dokument „Kompetenzmatrix über zehn Einheiten“.</w:t>
      </w:r>
    </w:p>
    <w:p>
      <w:r>
        <w:rPr>
          <w:b/>
          <w:color w:val="1F4E79"/>
        </w:rPr>
        <w:t>Status: Finalisiert als Arbeitsgrundlage für Schritt 3.</w:t>
      </w:r>
    </w:p>
    <w:sectPr w:rsidR="00FC693F" w:rsidRPr="0006063C" w:rsidSect="00034616">
      <w:footerReference w:type="default" r:id="rId9"/>
      <w:pgSz w:w="12240" w:h="15840"/>
      <w:pgMar w:top="964"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57575"/>
        <w:sz w:val="16"/>
      </w:rPr>
      <w:t>Gewaltschutzkurs Frauen und Mädchen · Fokuskompetenzen v1.0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E74B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