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6"/>
        </w:rPr>
        <w:t>Einheit 2 – Verbale Handlungsfähigkeit unter sozialem Druck</w:t>
      </w:r>
    </w:p>
    <w:p>
      <w:pPr>
        <w:jc w:val="center"/>
      </w:pPr>
      <w:r>
        <w:rPr>
          <w:i/>
          <w:sz w:val="24"/>
        </w:rPr>
        <w:t>Arbeitstitel: Von Beschwichtigung zu Klarheit</w:t>
      </w:r>
    </w:p>
    <w:p>
      <w:pPr>
        <w:jc w:val="center"/>
      </w:pPr>
      <w:r>
        <w:rPr>
          <w:b/>
        </w:rPr>
        <w:t>Konsolidierter Entwicklungsstand v1.0 – vollständige Pilotfassung</w:t>
      </w:r>
    </w:p>
    <w:p>
      <w:pPr>
        <w:pStyle w:val="Heading1"/>
      </w:pPr>
      <w:r>
        <w:t>1. Ziel und Funktion der Einheit</w:t>
      </w:r>
    </w:p>
    <w:p>
      <w:r>
        <w:t>Die zweite Kurseinheit liegt bewusst früh im Gesamtverlauf. Sie entwickelt grundlegende verbale Handlungsfähigkeit unter sozialem Druck und bereitet damit spätere Rollenspiele zu Bedrängnis, Grenzüberschreitungen, Arbeitsplatz, privatem Konflikt und sexualisierter Belästigung vor. Diese späteren Szenarien werden hier noch nicht vorweggenommen.</w:t>
      </w:r>
    </w:p>
    <w:p>
      <w:r>
        <w:t>Die Teilnehmerinnen sollen erleben, dass zwischen Beschwichtigung und aggressiver Gegenreaktion eine weitere Möglichkeit liegt: ruhig, kurz, klar und handlungsfähig zu bleiben. Es geht nicht darum, Konflikte perfekt zu lösen oder das Verhalten des Gegenübers zu kontrollieren.</w:t>
      </w:r>
    </w:p>
    <w:p/>
    <w:p>
      <w:r>
        <w:rPr>
          <w:b/>
        </w:rPr>
        <w:t xml:space="preserve">Planungsrahmen: </w:t>
      </w:r>
      <w:r>
        <w:t>Die vollständige Einheit ist für etwa 90 Minuten ausgelegt. Die Zeitfenster der Slots bleiben flexibel. Bei hoher Beteiligung werden optionale Wiederholungen gekürzt; Werkzeug 5 und die abschließende Zusammenführung werden nicht zugunsten zusätzlicher Varianten in Slot 3 oder 4 gestrichen.</w:t>
      </w:r>
    </w:p>
    <w:p>
      <w:pPr>
        <w:pStyle w:val="Heading1"/>
      </w:pPr>
      <w:r>
        <w:t>2. Werkzeugarchitektur und roter Faden</w:t>
      </w:r>
    </w:p>
    <w:p>
      <w:r>
        <w:t>Die Einheit arbeitet mit fünf konkreten Werkzeugen. Sie bilden den verbindlichen inhaltlichen roten Faden für Planung, Moderation und Auswertung. Es handelt sich nicht um fünf voneinander isolierte Fähigkeiten und auch nicht um eine starre Abfolge, die in jeder Situation vollständig durchlaufen werden muss. Je nach Lage können einzelne Werkzeuge oder mehrere Werkzeuge zusammen hilfreich sein.</w:t>
      </w:r>
    </w:p>
    <w:tbl>
      <w:tblPr>
        <w:tblStyle w:val="TableGrid"/>
        <w:tblW w:type="auto" w:w="0"/>
        <w:jc w:val="center"/>
        <w:tblLook w:firstColumn="1" w:firstRow="1" w:lastColumn="0" w:lastRow="0" w:noHBand="0" w:noVBand="1" w:val="04A0"/>
      </w:tblPr>
      <w:tblGrid>
        <w:gridCol w:w="3324"/>
        <w:gridCol w:w="3324"/>
        <w:gridCol w:w="3324"/>
      </w:tblGrid>
      <w:tr>
        <w:trPr>
          <w:tblHeader w:val="true"/>
        </w:trPr>
        <w:tc>
          <w:tcPr>
            <w:tcW w:type="dxa" w:w="3324"/>
            <w:shd w:fill="D9EAF7"/>
          </w:tcPr>
          <w:p>
            <w:r>
              <w:t>Werkzeug</w:t>
            </w:r>
          </w:p>
        </w:tc>
        <w:tc>
          <w:tcPr>
            <w:tcW w:type="dxa" w:w="3324"/>
            <w:shd w:fill="D9EAF7"/>
          </w:tcPr>
          <w:p>
            <w:r>
              <w:t>Typische Eskalationsfalle</w:t>
            </w:r>
          </w:p>
        </w:tc>
        <w:tc>
          <w:tcPr>
            <w:tcW w:type="dxa" w:w="3324"/>
            <w:shd w:fill="D9EAF7"/>
          </w:tcPr>
          <w:p>
            <w:r>
              <w:t>Trainingszugang in der Einheit</w:t>
            </w:r>
          </w:p>
        </w:tc>
      </w:tr>
      <w:tr>
        <w:tc>
          <w:tcPr>
            <w:tcW w:type="dxa" w:w="3324"/>
            <w:vAlign w:val="center"/>
          </w:tcPr>
          <w:p>
            <w:r>
              <w:t>1. Druck erkennen</w:t>
            </w:r>
          </w:p>
        </w:tc>
        <w:tc>
          <w:tcPr>
            <w:tcW w:type="dxa" w:w="3324"/>
            <w:vAlign w:val="center"/>
          </w:tcPr>
          <w:p>
            <w:r>
              <w:t>Ich merke zu spät, dass das Gespräch kippt.</w:t>
            </w:r>
          </w:p>
        </w:tc>
        <w:tc>
          <w:tcPr>
            <w:tcW w:type="dxa" w:w="3324"/>
            <w:vAlign w:val="center"/>
          </w:tcPr>
          <w:p>
            <w:r>
              <w:t>Beobachtung einer vollständigen Szene und gemeinsame Auswertung der Druckentwicklung.</w:t>
            </w:r>
          </w:p>
        </w:tc>
      </w:tr>
      <w:tr>
        <w:tc>
          <w:tcPr>
            <w:tcW w:type="dxa" w:w="3324"/>
            <w:vAlign w:val="center"/>
          </w:tcPr>
          <w:p>
            <w:r>
              <w:t>2. Nicht spiegeln</w:t>
            </w:r>
          </w:p>
        </w:tc>
        <w:tc>
          <w:tcPr>
            <w:tcW w:type="dxa" w:w="3324"/>
            <w:vAlign w:val="center"/>
          </w:tcPr>
          <w:p>
            <w:r>
              <w:t>Ich werde selbst lauter, schneller oder schärfer.</w:t>
            </w:r>
          </w:p>
        </w:tc>
        <w:tc>
          <w:tcPr>
            <w:tcW w:type="dxa" w:w="3324"/>
            <w:vAlign w:val="center"/>
          </w:tcPr>
          <w:p>
            <w:r>
              <w:t>Wirkungserleben mit Stimme, Tempo, Schärfe und emotionaler Ansteckung.</w:t>
            </w:r>
          </w:p>
        </w:tc>
      </w:tr>
      <w:tr>
        <w:tc>
          <w:tcPr>
            <w:tcW w:type="dxa" w:w="3324"/>
            <w:vAlign w:val="center"/>
          </w:tcPr>
          <w:p>
            <w:r>
              <w:t>3. Nicht rechtfertigen</w:t>
            </w:r>
          </w:p>
        </w:tc>
        <w:tc>
          <w:tcPr>
            <w:tcW w:type="dxa" w:w="3324"/>
            <w:vAlign w:val="center"/>
          </w:tcPr>
          <w:p>
            <w:r>
              <w:t>Ich erkläre mich immer weiter.</w:t>
            </w:r>
          </w:p>
        </w:tc>
        <w:tc>
          <w:tcPr>
            <w:tcW w:type="dxa" w:w="3324"/>
            <w:vAlign w:val="center"/>
          </w:tcPr>
          <w:p>
            <w:r>
              <w:t>Vergleich von fortgesetzter Erklärung und einer knappen, tragfähigen Antwort.</w:t>
            </w:r>
          </w:p>
        </w:tc>
      </w:tr>
      <w:tr>
        <w:tc>
          <w:tcPr>
            <w:tcW w:type="dxa" w:w="3324"/>
            <w:vAlign w:val="center"/>
          </w:tcPr>
          <w:p>
            <w:r>
              <w:t>4. Kurze klare Grenze</w:t>
            </w:r>
          </w:p>
        </w:tc>
        <w:tc>
          <w:tcPr>
            <w:tcW w:type="dxa" w:w="3324"/>
            <w:vAlign w:val="center"/>
          </w:tcPr>
          <w:p>
            <w:r>
              <w:t>Ich bleibe zu indirekt oder entschuldigend.</w:t>
            </w:r>
          </w:p>
        </w:tc>
        <w:tc>
          <w:tcPr>
            <w:tcW w:type="dxa" w:w="3324"/>
            <w:vAlign w:val="center"/>
          </w:tcPr>
          <w:p>
            <w:r>
              <w:t>Formulieren, sprechen und in seiner Wirkung überprüfen.</w:t>
            </w:r>
          </w:p>
        </w:tc>
      </w:tr>
      <w:tr>
        <w:tc>
          <w:tcPr>
            <w:tcW w:type="dxa" w:w="3324"/>
            <w:vAlign w:val="center"/>
          </w:tcPr>
          <w:p>
            <w:r>
              <w:t>5. Gespräch beenden / aussteigen</w:t>
            </w:r>
          </w:p>
        </w:tc>
        <w:tc>
          <w:tcPr>
            <w:tcW w:type="dxa" w:w="3324"/>
            <w:vAlign w:val="center"/>
          </w:tcPr>
          <w:p>
            <w:r>
              <w:t>Ich will noch überzeugen oder das letzte Wort.</w:t>
            </w:r>
          </w:p>
        </w:tc>
        <w:tc>
          <w:tcPr>
            <w:tcW w:type="dxa" w:w="3324"/>
            <w:vAlign w:val="center"/>
          </w:tcPr>
          <w:p>
            <w:r>
              <w:t>Gesprächsabschluss und tatsächlicher Ausstieg in einem späteren Übungselement.</w:t>
            </w:r>
          </w:p>
        </w:tc>
      </w:tr>
    </w:tbl>
    <w:p>
      <w:pPr>
        <w:pStyle w:val="Heading2"/>
      </w:pPr>
      <w:r>
        <w:t>Didaktische Verwendung der Werkzeuge</w:t>
      </w:r>
    </w:p>
    <w:p>
      <w:pPr>
        <w:pStyle w:val="ListBullet"/>
      </w:pPr>
      <w:r>
        <w:t>Die Werkzeuge werden nicht als umfangreicher Methodenkatalog präsentiert. Ihre fünf Bezeichnungen bilden bereits das Merkmodell für die Teilnehmerinnen.</w:t>
      </w:r>
    </w:p>
    <w:p>
      <w:pPr>
        <w:pStyle w:val="ListBullet"/>
      </w:pPr>
      <w:r>
        <w:t>Die ersten Slots machen Fallen und Wirkungen sichtbar; anschließend werden einzelne Werkzeuge fokussiert erprobt und wieder in vollständige Gesprächssituationen zurückgeführt.</w:t>
      </w:r>
    </w:p>
    <w:p>
      <w:pPr>
        <w:pStyle w:val="ListBullet"/>
      </w:pPr>
      <w:r>
        <w:t>Eine Übung darf mehrere Werkzeuge berühren. Für jeden Slot wird trotzdem festgelegt, welches Werkzeug dort im Vordergrund steht und welche Eskalationsfalle erkennbar oder bearbeitbar werden soll.</w:t>
      </w:r>
    </w:p>
    <w:p>
      <w:pPr>
        <w:pStyle w:val="ListBullet"/>
      </w:pPr>
      <w:r>
        <w:t>Die Werkzeuge beschreiben eigene Handlungsmöglichkeiten. Sie sind kein Versprechen, das Verhalten des Gegenübers zu kontrollieren oder eine Eskalation sicher zu verhindern.</w:t>
      </w:r>
    </w:p>
    <w:p>
      <w:pPr>
        <w:pStyle w:val="Heading2"/>
      </w:pPr>
      <w:r>
        <w:t>Verteilung im Lernbogen</w:t>
      </w:r>
    </w:p>
    <w:tbl>
      <w:tblPr>
        <w:tblStyle w:val="TableGrid"/>
        <w:tblW w:type="auto" w:w="0"/>
        <w:jc w:val="center"/>
        <w:tblLook w:firstColumn="1" w:firstRow="1" w:lastColumn="0" w:lastRow="0" w:noHBand="0" w:noVBand="1" w:val="04A0"/>
      </w:tblPr>
      <w:tblGrid>
        <w:gridCol w:w="3324"/>
        <w:gridCol w:w="3324"/>
        <w:gridCol w:w="3324"/>
      </w:tblGrid>
      <w:tr>
        <w:trPr>
          <w:tblHeader w:val="true"/>
        </w:trPr>
        <w:tc>
          <w:tcPr>
            <w:tcW w:type="dxa" w:w="3324"/>
            <w:shd w:fill="D9EAF7"/>
          </w:tcPr>
          <w:p>
            <w:r>
              <w:t>Übungselement</w:t>
            </w:r>
          </w:p>
        </w:tc>
        <w:tc>
          <w:tcPr>
            <w:tcW w:type="dxa" w:w="3324"/>
            <w:shd w:fill="D9EAF7"/>
          </w:tcPr>
          <w:p>
            <w:r>
              <w:t>Werkzeugfokus</w:t>
            </w:r>
          </w:p>
        </w:tc>
        <w:tc>
          <w:tcPr>
            <w:tcW w:type="dxa" w:w="3324"/>
            <w:shd w:fill="D9EAF7"/>
          </w:tcPr>
          <w:p>
            <w:r>
              <w:t>Funktion</w:t>
            </w:r>
          </w:p>
        </w:tc>
      </w:tr>
      <w:tr>
        <w:tc>
          <w:tcPr>
            <w:tcW w:type="dxa" w:w="3324"/>
            <w:vAlign w:val="center"/>
          </w:tcPr>
          <w:p>
            <w:r>
              <w:t>Slot 1 – Rahmung</w:t>
            </w:r>
          </w:p>
        </w:tc>
        <w:tc>
          <w:tcPr>
            <w:tcW w:type="dxa" w:w="3324"/>
            <w:vAlign w:val="center"/>
          </w:tcPr>
          <w:p>
            <w:r>
              <w:t>Vorbereitung von Werkzeug 1</w:t>
            </w:r>
          </w:p>
        </w:tc>
        <w:tc>
          <w:tcPr>
            <w:tcW w:type="dxa" w:w="3324"/>
            <w:vAlign w:val="center"/>
          </w:tcPr>
          <w:p>
            <w:r>
              <w:t>Beobachtungsrichtung öffnen, ohne Lösungen vorzugeben.</w:t>
            </w:r>
          </w:p>
        </w:tc>
      </w:tr>
      <w:tr>
        <w:tc>
          <w:tcPr>
            <w:tcW w:type="dxa" w:w="3324"/>
            <w:vAlign w:val="center"/>
          </w:tcPr>
          <w:p>
            <w:r>
              <w:t>Slot 2 – Einstiegsszene</w:t>
            </w:r>
          </w:p>
        </w:tc>
        <w:tc>
          <w:tcPr>
            <w:tcW w:type="dxa" w:w="3324"/>
            <w:vAlign w:val="center"/>
          </w:tcPr>
          <w:p>
            <w:r>
              <w:t>vor allem 1, 3 und 4; diagnostisch auch 2 und 5</w:t>
            </w:r>
          </w:p>
        </w:tc>
        <w:tc>
          <w:tcPr>
            <w:tcW w:type="dxa" w:w="3324"/>
            <w:vAlign w:val="center"/>
          </w:tcPr>
          <w:p>
            <w:r>
              <w:t>Fallen in einem natürlichen Gesprächsverlauf sichtbar machen.</w:t>
            </w:r>
          </w:p>
        </w:tc>
      </w:tr>
      <w:tr>
        <w:tc>
          <w:tcPr>
            <w:tcW w:type="dxa" w:w="3324"/>
            <w:vAlign w:val="center"/>
          </w:tcPr>
          <w:p>
            <w:r>
              <w:t>Slot 3 – Auswertung</w:t>
            </w:r>
          </w:p>
        </w:tc>
        <w:tc>
          <w:tcPr>
            <w:tcW w:type="dxa" w:w="3324"/>
            <w:vAlign w:val="center"/>
          </w:tcPr>
          <w:p>
            <w:r>
              <w:t>Werkzeug 1 trainieren; Fallen zu 2–5 zuordnen</w:t>
            </w:r>
          </w:p>
        </w:tc>
        <w:tc>
          <w:tcPr>
            <w:tcW w:type="dxa" w:w="3324"/>
            <w:vAlign w:val="center"/>
          </w:tcPr>
          <w:p>
            <w:r>
              <w:t>Aus Beobachtungen die fünf Werkzeugrichtungen ableiten.</w:t>
            </w:r>
          </w:p>
        </w:tc>
      </w:tr>
      <w:tr>
        <w:tc>
          <w:tcPr>
            <w:tcW w:type="dxa" w:w="3324"/>
            <w:vAlign w:val="center"/>
          </w:tcPr>
          <w:p>
            <w:r>
              <w:t>Slot 4 – Wirkungslabor</w:t>
            </w:r>
          </w:p>
        </w:tc>
        <w:tc>
          <w:tcPr>
            <w:tcW w:type="dxa" w:w="3324"/>
            <w:vAlign w:val="center"/>
          </w:tcPr>
          <w:p>
            <w:r>
              <w:t>Werkzeuge 2, 3 und 4</w:t>
            </w:r>
          </w:p>
        </w:tc>
        <w:tc>
          <w:tcPr>
            <w:tcW w:type="dxa" w:w="3324"/>
            <w:vAlign w:val="center"/>
          </w:tcPr>
          <w:p>
            <w:r>
              <w:t>Wirkung und eigenes Gefühl gezielt vergleichen.</w:t>
            </w:r>
          </w:p>
        </w:tc>
      </w:tr>
      <w:tr>
        <w:tc>
          <w:tcPr>
            <w:tcW w:type="dxa" w:w="3324"/>
            <w:vAlign w:val="center"/>
          </w:tcPr>
          <w:p>
            <w:r>
              <w:t>Slot 5 – Anwendungsszene</w:t>
            </w:r>
          </w:p>
        </w:tc>
        <w:tc>
          <w:tcPr>
            <w:tcW w:type="dxa" w:w="3324"/>
            <w:vAlign w:val="center"/>
          </w:tcPr>
          <w:p>
            <w:r>
              <w:t>Werkzeuge 1–4 verbunden</w:t>
            </w:r>
          </w:p>
        </w:tc>
        <w:tc>
          <w:tcPr>
            <w:tcW w:type="dxa" w:w="3324"/>
            <w:vAlign w:val="center"/>
          </w:tcPr>
          <w:p>
            <w:r>
              <w:t>Die Werkzeuge in einem laufenden Gespräch nutzen und halten.</w:t>
            </w:r>
          </w:p>
        </w:tc>
      </w:tr>
      <w:tr>
        <w:tc>
          <w:tcPr>
            <w:tcW w:type="dxa" w:w="3324"/>
            <w:vAlign w:val="center"/>
          </w:tcPr>
          <w:p>
            <w:r>
              <w:t>Slot 6 – Beenden und aussteigen</w:t>
            </w:r>
          </w:p>
        </w:tc>
        <w:tc>
          <w:tcPr>
            <w:tcW w:type="dxa" w:w="3324"/>
            <w:vAlign w:val="center"/>
          </w:tcPr>
          <w:p>
            <w:r>
              <w:t>Werkzeug 5, verbunden mit 1–4</w:t>
            </w:r>
          </w:p>
        </w:tc>
        <w:tc>
          <w:tcPr>
            <w:tcW w:type="dxa" w:w="3324"/>
            <w:vAlign w:val="center"/>
          </w:tcPr>
          <w:p>
            <w:r>
              <w:t>Vom Begrenzen zum tatsächlichen Beenden und Handeln wechseln.</w:t>
            </w:r>
          </w:p>
        </w:tc>
      </w:tr>
      <w:tr>
        <w:tc>
          <w:tcPr>
            <w:tcW w:type="dxa" w:w="3324"/>
            <w:vAlign w:val="center"/>
          </w:tcPr>
          <w:p>
            <w:r>
              <w:t>Slot 7 – Zusammenführung</w:t>
            </w:r>
          </w:p>
        </w:tc>
        <w:tc>
          <w:tcPr>
            <w:tcW w:type="dxa" w:w="3324"/>
            <w:vAlign w:val="center"/>
          </w:tcPr>
          <w:p>
            <w:r>
              <w:t>alle fünf Werkzeuge</w:t>
            </w:r>
          </w:p>
        </w:tc>
        <w:tc>
          <w:tcPr>
            <w:tcW w:type="dxa" w:w="3324"/>
            <w:vAlign w:val="center"/>
          </w:tcPr>
          <w:p>
            <w:r>
              <w:t>Merkmodell sichern und persönlichen Alltagstransfer vorbereiten.</w:t>
            </w:r>
          </w:p>
        </w:tc>
      </w:tr>
    </w:tbl>
    <w:p>
      <w:pPr>
        <w:pStyle w:val="Heading2"/>
      </w:pPr>
      <w:r>
        <w:t>Anforderung an jede Slotbeschreibung</w:t>
      </w:r>
    </w:p>
    <w:p>
      <w:r>
        <w:t>Jeder Slot benennt deshalb neben Ziel, Durchführung und Trainerhinweisen ausdrücklich: den Werkzeugfokus, die zugehörige Eskalationsfalle und das erwartete Ergebnis. So bleiben die Übungen flexibel, ohne dass die Werkzeugarchitektur in den Details verloren geht.</w:t>
      </w:r>
    </w:p>
    <w:p>
      <w:pPr>
        <w:pStyle w:val="Heading1"/>
      </w:pPr>
      <w:r>
        <w:t>3. Verbindlicher didaktischer Rahmen</w:t>
      </w:r>
    </w:p>
    <w:p>
      <w:pPr>
        <w:pStyle w:val="ListBullet"/>
      </w:pPr>
      <w:r>
        <w:t>Erleben vor Erklären.</w:t>
      </w:r>
    </w:p>
    <w:p>
      <w:pPr>
        <w:pStyle w:val="ListBullet"/>
      </w:pPr>
      <w:r>
        <w:t>Beobachtung und Wirkung vor Bewertung.</w:t>
      </w:r>
    </w:p>
    <w:p>
      <w:pPr>
        <w:pStyle w:val="ListBullet"/>
      </w:pPr>
      <w:r>
        <w:t>Muster und Handlungsoptionen werden möglichst aus der Gruppe entwickelt.</w:t>
      </w:r>
    </w:p>
    <w:p>
      <w:pPr>
        <w:pStyle w:val="ListBullet"/>
      </w:pPr>
      <w:r>
        <w:t>Vollständige kurze Szenen schaffen sozialen Kontext; fokussierte Kurzsequenzen dienen anschließend der gezielten Wirkungserfahrung.</w:t>
      </w:r>
    </w:p>
    <w:p>
      <w:pPr>
        <w:pStyle w:val="ListBullet"/>
      </w:pPr>
      <w:r>
        <w:t>Die Teilnehmerinnen reagieren aus einer Ausgangslage heraus; sie spielen keinen vorgegebenen Dialog.</w:t>
      </w:r>
    </w:p>
    <w:p>
      <w:pPr>
        <w:pStyle w:val="ListBullet"/>
      </w:pPr>
      <w:r>
        <w:t>Freiwilligkeit gilt für jede aktive Rolle. Beobachtung ist eine vollwertige Lernrolle.</w:t>
      </w:r>
    </w:p>
    <w:p>
      <w:pPr>
        <w:pStyle w:val="ListBullet"/>
      </w:pPr>
      <w:r>
        <w:t>Klare Kommunikation erweitert Handlungsmöglichkeiten, garantiert aber weder Kooperation noch Sicherheit.</w:t>
      </w:r>
    </w:p>
    <w:p>
      <w:pPr>
        <w:pStyle w:val="Heading1"/>
      </w:pPr>
      <w:r>
        <w:t>4. Rollen- und Szenenprinzip</w:t>
      </w:r>
    </w:p>
    <w:p>
      <w:r>
        <w:t>Der Begriff „Erfahrungsszene“ kann intern genutzt werden, ist aber kein verbindlicher Fachbegriff. Im Kurs genügt die Ankündigung einer kurzen Szene.</w:t>
      </w:r>
    </w:p>
    <w:p>
      <w:r>
        <w:t>Rolleninformationen für Teilnehmerinnen enthalten nur:</w:t>
      </w:r>
    </w:p>
    <w:p>
      <w:pPr>
        <w:pStyle w:val="ListBullet"/>
      </w:pPr>
      <w:r>
        <w:t>die Ausgangssituation,</w:t>
      </w:r>
    </w:p>
    <w:p>
      <w:pPr>
        <w:pStyle w:val="ListBullet"/>
      </w:pPr>
      <w:r>
        <w:t>das persönliche Ziel,</w:t>
      </w:r>
    </w:p>
    <w:p>
      <w:pPr>
        <w:pStyle w:val="ListBullet"/>
      </w:pPr>
      <w:r>
        <w:t>soziale oder emotionale Abhängigkeiten,</w:t>
      </w:r>
    </w:p>
    <w:p>
      <w:pPr>
        <w:pStyle w:val="ListBullet"/>
      </w:pPr>
      <w:r>
        <w:t>einen inneren Konflikt oder ein Harmoniebedürfnis,</w:t>
      </w:r>
    </w:p>
    <w:p>
      <w:pPr>
        <w:pStyle w:val="ListBullet"/>
      </w:pPr>
      <w:r>
        <w:t>die emotionale Ausgangslage.</w:t>
      </w:r>
    </w:p>
    <w:p>
      <w:r>
        <w:t>Die Gesprächsstufen und die mögliche Druckentwicklung bleiben in der Trainerunterlage. Sie dienen der Orientierung, nicht als zwingendes Drehbuch.</w:t>
      </w:r>
    </w:p>
    <w:p>
      <w:pPr>
        <w:pStyle w:val="Heading1"/>
        <w:pageBreakBefore/>
      </w:pPr>
      <w:r>
        <w:t>5. Gesamtarchitektur und Zeitsteuerung der Einheit</w:t>
      </w:r>
    </w:p>
    <w:tbl>
      <w:tblPr>
        <w:tblStyle w:val="TableGrid"/>
        <w:tblW w:type="auto" w:w="0"/>
        <w:jc w:val="center"/>
        <w:tblLook w:firstColumn="1" w:firstRow="1" w:lastColumn="0" w:lastRow="0" w:noHBand="0" w:noVBand="1" w:val="04A0"/>
      </w:tblPr>
      <w:tblGrid>
        <w:gridCol w:w="2493"/>
        <w:gridCol w:w="2493"/>
        <w:gridCol w:w="2493"/>
        <w:gridCol w:w="2493"/>
      </w:tblGrid>
      <w:tr>
        <w:tc>
          <w:tcPr>
            <w:tcW w:type="dxa" w:w="2493"/>
            <w:vAlign w:val="center"/>
          </w:tcPr>
          <w:p>
            <w:r>
              <w:t>Slot</w:t>
            </w:r>
          </w:p>
        </w:tc>
        <w:tc>
          <w:tcPr>
            <w:tcW w:type="dxa" w:w="2493"/>
            <w:vAlign w:val="center"/>
          </w:tcPr>
          <w:p>
            <w:r>
              <w:t>Schwerpunkt</w:t>
            </w:r>
          </w:p>
        </w:tc>
        <w:tc>
          <w:tcPr>
            <w:tcW w:type="dxa" w:w="2493"/>
            <w:vAlign w:val="center"/>
          </w:tcPr>
          <w:p>
            <w:r>
              <w:t>Zeitfenster</w:t>
            </w:r>
          </w:p>
        </w:tc>
        <w:tc>
          <w:tcPr>
            <w:tcW w:type="dxa" w:w="2493"/>
            <w:vAlign w:val="center"/>
          </w:tcPr>
          <w:p>
            <w:r>
              <w:t>Funktion</w:t>
            </w:r>
          </w:p>
        </w:tc>
      </w:tr>
      <w:tr>
        <w:tc>
          <w:tcPr>
            <w:tcW w:type="dxa" w:w="2493"/>
            <w:vAlign w:val="center"/>
          </w:tcPr>
          <w:p>
            <w:r>
              <w:t>1</w:t>
            </w:r>
          </w:p>
        </w:tc>
        <w:tc>
          <w:tcPr>
            <w:tcW w:type="dxa" w:w="2493"/>
            <w:vAlign w:val="center"/>
          </w:tcPr>
          <w:p>
            <w:r>
              <w:t>Rahmung und Beobachtungsauftrag</w:t>
            </w:r>
          </w:p>
        </w:tc>
        <w:tc>
          <w:tcPr>
            <w:tcW w:type="dxa" w:w="2493"/>
            <w:vAlign w:val="center"/>
          </w:tcPr>
          <w:p>
            <w:r>
              <w:t>ca. 5 Min.</w:t>
            </w:r>
          </w:p>
        </w:tc>
        <w:tc>
          <w:tcPr>
            <w:tcW w:type="dxa" w:w="2493"/>
            <w:vAlign w:val="center"/>
          </w:tcPr>
          <w:p>
            <w:r>
              <w:t>Thema und Werkzeuglogik öffnen</w:t>
            </w:r>
          </w:p>
        </w:tc>
      </w:tr>
      <w:tr>
        <w:tc>
          <w:tcPr>
            <w:tcW w:type="dxa" w:w="2493"/>
            <w:vAlign w:val="center"/>
          </w:tcPr>
          <w:p>
            <w:r>
              <w:t>2</w:t>
            </w:r>
          </w:p>
        </w:tc>
        <w:tc>
          <w:tcPr>
            <w:tcW w:type="dxa" w:w="2493"/>
            <w:vAlign w:val="center"/>
          </w:tcPr>
          <w:p>
            <w:r>
              <w:t>Einstiegsszene: sozialer Druck</w:t>
            </w:r>
          </w:p>
        </w:tc>
        <w:tc>
          <w:tcPr>
            <w:tcW w:type="dxa" w:w="2493"/>
            <w:vAlign w:val="center"/>
          </w:tcPr>
          <w:p>
            <w:r>
              <w:t>ca. 8–10 Min.</w:t>
            </w:r>
          </w:p>
        </w:tc>
        <w:tc>
          <w:tcPr>
            <w:tcW w:type="dxa" w:w="2493"/>
            <w:vAlign w:val="center"/>
          </w:tcPr>
          <w:p>
            <w:r>
              <w:t>Fallen authentisch sichtbar machen</w:t>
            </w:r>
          </w:p>
        </w:tc>
      </w:tr>
      <w:tr>
        <w:tc>
          <w:tcPr>
            <w:tcW w:type="dxa" w:w="2493"/>
            <w:vAlign w:val="center"/>
          </w:tcPr>
          <w:p>
            <w:r>
              <w:t>3</w:t>
            </w:r>
          </w:p>
        </w:tc>
        <w:tc>
          <w:tcPr>
            <w:tcW w:type="dxa" w:w="2493"/>
            <w:vAlign w:val="center"/>
          </w:tcPr>
          <w:p>
            <w:r>
              <w:t>Gemeinsame Auswertung</w:t>
            </w:r>
          </w:p>
        </w:tc>
        <w:tc>
          <w:tcPr>
            <w:tcW w:type="dxa" w:w="2493"/>
            <w:vAlign w:val="center"/>
          </w:tcPr>
          <w:p>
            <w:r>
              <w:t>ca. 12–15 Min.</w:t>
            </w:r>
          </w:p>
        </w:tc>
        <w:tc>
          <w:tcPr>
            <w:tcW w:type="dxa" w:w="2493"/>
            <w:vAlign w:val="center"/>
          </w:tcPr>
          <w:p>
            <w:r>
              <w:t>Druck, Wirkung und innere Motive ordnen</w:t>
            </w:r>
          </w:p>
        </w:tc>
      </w:tr>
      <w:tr>
        <w:tc>
          <w:tcPr>
            <w:tcW w:type="dxa" w:w="2493"/>
            <w:vAlign w:val="center"/>
          </w:tcPr>
          <w:p>
            <w:r>
              <w:t>4</w:t>
            </w:r>
          </w:p>
        </w:tc>
        <w:tc>
          <w:tcPr>
            <w:tcW w:type="dxa" w:w="2493"/>
            <w:vAlign w:val="center"/>
          </w:tcPr>
          <w:p>
            <w:r>
              <w:t>Wirkungslabor</w:t>
            </w:r>
          </w:p>
        </w:tc>
        <w:tc>
          <w:tcPr>
            <w:tcW w:type="dxa" w:w="2493"/>
            <w:vAlign w:val="center"/>
          </w:tcPr>
          <w:p>
            <w:r>
              <w:t>ca. 18–22 Min.</w:t>
            </w:r>
          </w:p>
        </w:tc>
        <w:tc>
          <w:tcPr>
            <w:tcW w:type="dxa" w:w="2493"/>
            <w:vAlign w:val="center"/>
          </w:tcPr>
          <w:p>
            <w:r>
              <w:t>Werkzeuge 2–4 gezielt erleben</w:t>
            </w:r>
          </w:p>
        </w:tc>
      </w:tr>
      <w:tr>
        <w:tc>
          <w:tcPr>
            <w:tcW w:type="dxa" w:w="2493"/>
            <w:vAlign w:val="center"/>
          </w:tcPr>
          <w:p>
            <w:r>
              <w:t>5</w:t>
            </w:r>
          </w:p>
        </w:tc>
        <w:tc>
          <w:tcPr>
            <w:tcW w:type="dxa" w:w="2493"/>
            <w:vAlign w:val="center"/>
          </w:tcPr>
          <w:p>
            <w:r>
              <w:t>Vollständige Anwendungsszene</w:t>
            </w:r>
          </w:p>
        </w:tc>
        <w:tc>
          <w:tcPr>
            <w:tcW w:type="dxa" w:w="2493"/>
            <w:vAlign w:val="center"/>
          </w:tcPr>
          <w:p>
            <w:r>
              <w:t>ca. 15–18 Min.</w:t>
            </w:r>
          </w:p>
        </w:tc>
        <w:tc>
          <w:tcPr>
            <w:tcW w:type="dxa" w:w="2493"/>
            <w:vAlign w:val="center"/>
          </w:tcPr>
          <w:p>
            <w:r>
              <w:t>Werkzeuge 1–4 im Gespräch verbinden</w:t>
            </w:r>
          </w:p>
        </w:tc>
      </w:tr>
      <w:tr>
        <w:tc>
          <w:tcPr>
            <w:tcW w:type="dxa" w:w="2493"/>
            <w:vAlign w:val="center"/>
          </w:tcPr>
          <w:p>
            <w:r>
              <w:t>6</w:t>
            </w:r>
          </w:p>
        </w:tc>
        <w:tc>
          <w:tcPr>
            <w:tcW w:type="dxa" w:w="2493"/>
            <w:vAlign w:val="center"/>
          </w:tcPr>
          <w:p>
            <w:r>
              <w:t>Gespräch beenden / aussteigen</w:t>
            </w:r>
          </w:p>
        </w:tc>
        <w:tc>
          <w:tcPr>
            <w:tcW w:type="dxa" w:w="2493"/>
            <w:vAlign w:val="center"/>
          </w:tcPr>
          <w:p>
            <w:r>
              <w:t>ca. 20–22 Min.</w:t>
            </w:r>
          </w:p>
        </w:tc>
        <w:tc>
          <w:tcPr>
            <w:tcW w:type="dxa" w:w="2493"/>
            <w:vAlign w:val="center"/>
          </w:tcPr>
          <w:p>
            <w:r>
              <w:t>Werkzeug 5 sprachlich und handelnd erproben</w:t>
            </w:r>
          </w:p>
        </w:tc>
      </w:tr>
      <w:tr>
        <w:tc>
          <w:tcPr>
            <w:tcW w:type="dxa" w:w="2493"/>
            <w:vAlign w:val="center"/>
          </w:tcPr>
          <w:p>
            <w:r>
              <w:t>7</w:t>
            </w:r>
          </w:p>
        </w:tc>
        <w:tc>
          <w:tcPr>
            <w:tcW w:type="dxa" w:w="2493"/>
            <w:vAlign w:val="center"/>
          </w:tcPr>
          <w:p>
            <w:r>
              <w:t>Zusammenführung und Transfer</w:t>
            </w:r>
          </w:p>
        </w:tc>
        <w:tc>
          <w:tcPr>
            <w:tcW w:type="dxa" w:w="2493"/>
            <w:vAlign w:val="center"/>
          </w:tcPr>
          <w:p>
            <w:r>
              <w:t>ca. 7–10 Min.</w:t>
            </w:r>
          </w:p>
        </w:tc>
        <w:tc>
          <w:tcPr>
            <w:tcW w:type="dxa" w:w="2493"/>
            <w:vAlign w:val="center"/>
          </w:tcPr>
          <w:p>
            <w:r>
              <w:t>Fünf Werkzeuge merkbar sichern</w:t>
            </w:r>
          </w:p>
        </w:tc>
      </w:tr>
    </w:tbl>
    <w:p>
      <w:pPr>
        <w:pStyle w:val="Heading1"/>
      </w:pPr>
      <w:r>
        <w:t>6. Slot 1 – Rahmung: Von Beschwichtigung zu Klarheit</w:t>
      </w:r>
    </w:p>
    <w:p>
      <w:pPr>
        <w:pStyle w:val="Heading2"/>
      </w:pPr>
      <w:r>
        <w:t>Ziel</w:t>
      </w:r>
    </w:p>
    <w:p>
      <w:r>
        <w:t>Die Teilnehmerinnen verstehen, dass es um Handlungsfähigkeit in unangenehmen Situationen geht – nicht um perfekte Kommunikation, besondere Schlagfertigkeit oder die Pflicht, stets freundlich zu bleiben.</w:t>
      </w:r>
    </w:p>
    <w:p>
      <w:pPr>
        <w:pStyle w:val="Heading2"/>
      </w:pPr>
      <w:r>
        <w:t>Werkzeugfokus</w:t>
      </w:r>
    </w:p>
    <w:p>
      <w:pPr/>
      <w:r>
        <w:t>Werkzeugbezug: Slot 1 bereitet vor allem Werkzeug 1 „Druck erkennen“ vor. Die fünf Werkzeuge werden an dieser Stelle noch nicht als Lösungskatalog vorgestellt.</w:t>
      </w:r>
    </w:p>
    <w:p>
      <w:pPr>
        <w:pStyle w:val="Heading2"/>
      </w:pPr>
      <w:r>
        <w:t>Zeitfenster und Material</w:t>
      </w:r>
    </w:p>
    <w:p>
      <w:r>
        <w:t>Zeitfenster: ca. 5–8 Minuten.</w:t>
      </w:r>
    </w:p>
    <w:p>
      <w:r>
        <w:t>Material: Flipchart oder Whiteboard für den späteren Beobachtungsauftrag.</w:t>
      </w:r>
    </w:p>
    <w:p>
      <w:pPr>
        <w:pStyle w:val="Heading2"/>
      </w:pPr>
      <w:r>
        <w:t>Durchführung</w:t>
      </w:r>
    </w:p>
    <w:p>
      <w:r>
        <w:t>Der Trainer eröffnet die Einheit kurz und alltagsnah. Er benennt, dass Menschen unter sozialem Druck häufig erklären, lächeln, beschwichtigen oder nachgeben, weil sie freundlich bleiben, niemanden enttäuschen oder keinen Streit auslösen möchten. Diese Reaktionen werden nicht als Schwäche bewertet.</w:t>
      </w:r>
    </w:p>
    <w:p>
      <w:r>
        <w:t>Mögliche Trainerformulierung:</w:t>
      </w:r>
    </w:p>
    <w:p>
      <w:pPr>
        <w:ind w:left="397"/>
      </w:pPr>
      <w:r>
        <w:rPr>
          <w:i/>
        </w:rPr>
        <w:t>„Heute geht es nicht darum, Konflikte perfekt zu lösen. Es geht darum, in unangenehmen Situationen handlungsfähig zu bleiben. Wir schauen uns zunächst eine kurze Alltagsszene an und beobachten, was dort passiert.“</w:t>
      </w:r>
    </w:p>
    <w:p>
      <w:r>
        <w:t>Vor der Szene erhalten die Beobachterinnen einen knappen Auftrag:</w:t>
      </w:r>
    </w:p>
    <w:p>
      <w:pPr>
        <w:pStyle w:val="ListBullet"/>
      </w:pPr>
      <w:r>
        <w:t>Wodurch entsteht Druck?</w:t>
      </w:r>
    </w:p>
    <w:p>
      <w:pPr>
        <w:pStyle w:val="ListBullet"/>
      </w:pPr>
      <w:r>
        <w:t>Wann beginnt die Person, sich zu erklären oder zu beschwichtigen?</w:t>
      </w:r>
    </w:p>
    <w:p>
      <w:pPr>
        <w:pStyle w:val="ListBullet"/>
      </w:pPr>
      <w:r>
        <w:t>Wann wird eine Grenze klarer oder unklarer?</w:t>
      </w:r>
    </w:p>
    <w:p>
      <w:pPr>
        <w:pStyle w:val="Heading2"/>
      </w:pPr>
      <w:r>
        <w:t>Trainerhinweise</w:t>
      </w:r>
    </w:p>
    <w:p>
      <w:pPr>
        <w:pStyle w:val="ListBullet"/>
      </w:pPr>
      <w:r>
        <w:t>Nicht mit einer Theorieeinführung beginnen.</w:t>
      </w:r>
    </w:p>
    <w:p>
      <w:pPr>
        <w:pStyle w:val="ListBullet"/>
      </w:pPr>
      <w:r>
        <w:t>Nicht ankündigen, welches Verhalten in der Szene erwartet wird.</w:t>
      </w:r>
    </w:p>
    <w:p>
      <w:pPr>
        <w:pStyle w:val="ListBullet"/>
      </w:pPr>
      <w:r>
        <w:t>Frauenbezogene Sozialisationsmuster vorsichtig und ohne Defizitbotschaft ansprechen.</w:t>
      </w:r>
    </w:p>
    <w:p>
      <w:pPr>
        <w:pStyle w:val="ListBullet"/>
      </w:pPr>
      <w:r>
        <w:t>Noch keine Lösungssätze oder Werkzeuge vorgeben.</w:t>
      </w:r>
    </w:p>
    <w:p>
      <w:pPr>
        <w:pStyle w:val="Heading2"/>
      </w:pPr>
      <w:r>
        <w:t>Übergang</w:t>
      </w:r>
    </w:p>
    <w:p>
      <w:r>
        <w:t>„Beobachtet zunächst nur, was sich entwickelt. Über andere Möglichkeiten sprechen wir anschließend.“</w:t>
      </w:r>
    </w:p>
    <w:p>
      <w:pPr>
        <w:pStyle w:val="Heading1"/>
      </w:pPr>
      <w:r>
        <w:t>7. Slot 2 – Einstiegsszene: Rechtfertigungs- und Harmoniedruck</w:t>
      </w:r>
    </w:p>
    <w:p>
      <w:pPr>
        <w:pStyle w:val="Heading2"/>
      </w:pPr>
      <w:r>
        <w:t>Ziel</w:t>
      </w:r>
    </w:p>
    <w:p>
      <w:r>
        <w:t>Die Gruppe erlebt eine vollständige, niedrig dosierte Alltagsszene, in der eine Person gehen oder eine Bitte ablehnen möchte und das Gegenüber dies nicht sofort akzeptiert. Sichtbar werden sollen sozialer Druck, Rechtfertigungsimpulse, Beschwichtigung und ein möglicherweise unklar werdender Gesprächsabschluss.</w:t>
      </w:r>
    </w:p>
    <w:p>
      <w:pPr>
        <w:pStyle w:val="Heading2"/>
      </w:pPr>
      <w:r>
        <w:t>Werkzeugfokus</w:t>
      </w:r>
    </w:p>
    <w:p>
      <w:pPr/>
      <w:r>
        <w:t>Werkzeugbezug: Die Szene macht vor allem Werkzeug 1 und die Fallen zu Werkzeug 3 und 4 sichtbar. Spiegelung und fehlender Gesprächsabschluss können zusätzlich auftreten, werden aber nicht künstlich erzeugt.</w:t>
      </w:r>
    </w:p>
    <w:p>
      <w:pPr>
        <w:pStyle w:val="Heading2"/>
      </w:pPr>
      <w:r>
        <w:t>Zeitfenster und Material</w:t>
      </w:r>
    </w:p>
    <w:p>
      <w:r>
        <w:t>Zeitfenster: ca. 8–12 Minuten einschließlich kurzer Erstreaktion.</w:t>
      </w:r>
    </w:p>
    <w:p>
      <w:r>
        <w:t>Material: zwei knappe Rollenkarten; vorbereitete Trainerunterlage zur Druckentwicklung.</w:t>
      </w:r>
    </w:p>
    <w:p>
      <w:pPr>
        <w:pStyle w:val="Heading2"/>
      </w:pPr>
      <w:r>
        <w:t>Ausgangssituation</w:t>
      </w:r>
    </w:p>
    <w:p>
      <w:r>
        <w:t>Alltagskontext: Verein, ehrenamtliche Tätigkeit oder vergleichbare gemeinsame Aufgabe. Person A möchte wie geplant gehen. Person B möchte, dass A noch kurz mithilft.</w:t>
      </w:r>
    </w:p>
    <w:p>
      <w:pPr>
        <w:pStyle w:val="Heading2"/>
      </w:pPr>
      <w:r>
        <w:t>Rollenkarte Person A – freiwillige Teilnehmerin</w:t>
      </w:r>
    </w:p>
    <w:p>
      <w:pPr>
        <w:pStyle w:val="ListBullet"/>
      </w:pPr>
      <w:r>
        <w:t>Du möchtest jetzt gehen und hast dafür einen privaten, sachlichen Grund, den du nicht näher erklären möchtest.</w:t>
      </w:r>
    </w:p>
    <w:p>
      <w:pPr>
        <w:pStyle w:val="ListBullet"/>
      </w:pPr>
      <w:r>
        <w:t>Dir ist ein gutes Verhältnis zur anderen Person wichtig.</w:t>
      </w:r>
    </w:p>
    <w:p>
      <w:pPr>
        <w:pStyle w:val="ListBullet"/>
      </w:pPr>
      <w:r>
        <w:t>Du möchtest niemanden enttäuschen und keinen Streit auslösen.</w:t>
      </w:r>
    </w:p>
    <w:p>
      <w:pPr>
        <w:pStyle w:val="ListBullet"/>
      </w:pPr>
      <w:r>
        <w:t>Gleichzeitig willst du tatsächlich gehen.</w:t>
      </w:r>
    </w:p>
    <w:p>
      <w:pPr>
        <w:pStyle w:val="ListBullet"/>
      </w:pPr>
      <w:r>
        <w:t>Reagiere so, wie es sich für dich in der Situation stimmig anfühlt.</w:t>
      </w:r>
    </w:p>
    <w:p>
      <w:pPr>
        <w:pStyle w:val="Heading2"/>
      </w:pPr>
      <w:r>
        <w:t>Rollenkarte Person B – Trainer oder vorbereitete Partnerin</w:t>
      </w:r>
    </w:p>
    <w:p>
      <w:pPr>
        <w:pStyle w:val="ListBullet"/>
      </w:pPr>
      <w:r>
        <w:t>Du möchtest, dass Person A noch kurz bleibt und mithilft.</w:t>
      </w:r>
    </w:p>
    <w:p>
      <w:pPr>
        <w:pStyle w:val="ListBullet"/>
      </w:pPr>
      <w:r>
        <w:t>Du hältst deine Bitte für zumutbar und verstehst zunächst nicht, warum A gehen will.</w:t>
      </w:r>
    </w:p>
    <w:p>
      <w:pPr>
        <w:pStyle w:val="ListBullet"/>
      </w:pPr>
      <w:r>
        <w:t>Bleibe sozial plausibel; werde nicht laut, beleidigend oder bedrohlich.</w:t>
      </w:r>
    </w:p>
    <w:p>
      <w:pPr>
        <w:pStyle w:val="ListBullet"/>
      </w:pPr>
      <w:r>
        <w:t>Nutze Nachfragen, Verkleinerung des Aufwands und leichte Enttäuschung, ohne einen festen Dialog abzuspulen.</w:t>
      </w:r>
    </w:p>
    <w:p>
      <w:pPr>
        <w:pStyle w:val="Heading2"/>
      </w:pPr>
      <w:r>
        <w:t>Interne Trainerorientierung</w:t>
      </w:r>
    </w:p>
    <w:p>
      <w:r>
        <w:t>Die Druckentwicklung kann von einer freundlichen Bitte über wiederholtes Nachfragen und Verkleinerung des Aufwands bis zu leichtem moralischem Druck reichen. Die Stufen werden nicht an die Teilnehmerin ausgegeben und müssen nicht vollständig erreicht werden.</w:t>
      </w:r>
    </w:p>
    <w:p>
      <w:r>
        <w:t>Mögliche Impulse für Person B: „Es dauert doch nur kurz.“ – „Du bist doch ohnehin noch da.“ – „Wir haben uns eigentlich auf dich verlassen.“</w:t>
      </w:r>
    </w:p>
    <w:p>
      <w:pPr>
        <w:pStyle w:val="Heading2"/>
      </w:pPr>
      <w:r>
        <w:t>Durchführung</w:t>
      </w:r>
    </w:p>
    <w:p>
      <w:pPr/>
      <w:r>
        <w:t>1. Rollen getrennt und knapp briefen.</w:t>
      </w:r>
    </w:p>
    <w:p>
      <w:pPr/>
      <w:r>
        <w:t>2. Beobachtungsauftrag aus Slot 1 nochmals in einem Satz erinnern.</w:t>
      </w:r>
    </w:p>
    <w:p>
      <w:pPr/>
      <w:r>
        <w:t>3. Szene etwa 2–4 Minuten laufen lassen.</w:t>
      </w:r>
    </w:p>
    <w:p>
      <w:pPr/>
      <w:r>
        <w:t>4. Stoppen, sobald das Muster ausreichend sichtbar ist: wiederholte Erklärung, zunehmende Beschwichtigung, unklarer Abschluss oder erkennbarer Verhandlungsspielraum.</w:t>
      </w:r>
    </w:p>
    <w:p>
      <w:pPr/>
      <w:r>
        <w:t>5. Unmittelbar danach nur eine kurze Erstreaktion sichern; die vertiefte Auswertung erfolgt in Slot 3.</w:t>
      </w:r>
    </w:p>
    <w:p>
      <w:pPr>
        <w:pStyle w:val="Heading2"/>
      </w:pPr>
      <w:r>
        <w:t>Kurze Erstreaktion</w:t>
      </w:r>
    </w:p>
    <w:p>
      <w:pPr>
        <w:pStyle w:val="ListBullet"/>
      </w:pPr>
      <w:r>
        <w:t>An Person A: „Wie hat sich die Situation für dich angefühlt?“</w:t>
      </w:r>
    </w:p>
    <w:p>
      <w:pPr>
        <w:pStyle w:val="ListBullet"/>
      </w:pPr>
      <w:r>
        <w:t>An Person B: „Was hat dir das Gefühl gegeben, noch weiterfragen zu können?“</w:t>
      </w:r>
    </w:p>
    <w:p>
      <w:pPr>
        <w:pStyle w:val="ListBullet"/>
      </w:pPr>
      <w:r>
        <w:t>An das Plenum: „Was ist euch als Erstes aufgefallen?“</w:t>
      </w:r>
    </w:p>
    <w:p>
      <w:pPr>
        <w:pStyle w:val="Heading2"/>
      </w:pPr>
      <w:r>
        <w:t>Trainerhinweise</w:t>
      </w:r>
    </w:p>
    <w:p>
      <w:pPr>
        <w:pStyle w:val="ListBullet"/>
      </w:pPr>
      <w:r>
        <w:t>Die freiwillige Teilnehmerin nicht als Testperson behandeln.</w:t>
      </w:r>
    </w:p>
    <w:p>
      <w:pPr>
        <w:pStyle w:val="ListBullet"/>
      </w:pPr>
      <w:r>
        <w:t>Nicht sagen oder andeuten, sie habe sich falsch verhalten.</w:t>
      </w:r>
    </w:p>
    <w:p>
      <w:pPr>
        <w:pStyle w:val="ListBullet"/>
      </w:pPr>
      <w:r>
        <w:t>Keine schweren privaten Abhängigkeiten, sexualisierten Inhalte oder Bedrohungen einbauen.</w:t>
      </w:r>
    </w:p>
    <w:p>
      <w:pPr>
        <w:pStyle w:val="ListBullet"/>
      </w:pPr>
      <w:r>
        <w:t>Die Szene nicht künstlich bis zu einem klaren Lehrsatz treiben.</w:t>
      </w:r>
    </w:p>
    <w:p>
      <w:pPr>
        <w:pStyle w:val="Heading1"/>
      </w:pPr>
      <w:r>
        <w:t>8. Slot 3 – Gemeinsame Auswertung der Einstiegsszene</w:t>
      </w:r>
    </w:p>
    <w:p>
      <w:pPr>
        <w:pStyle w:val="Heading2"/>
      </w:pPr>
      <w:r>
        <w:t>Ziel</w:t>
      </w:r>
    </w:p>
    <w:p>
      <w:r>
        <w:t>Die Teilnehmerinnen ordnen frei geäußerte Beobachtungen, Wirkungen und mögliche innere Motive. Sie trainieren damit vor allem, Druck und ein Kippen des Gesprächs früher zu erkennen. Zugleich werden die in der Szene sichtbaren Eskalationsfallen den fünf Werkzeugen zugeordnet.</w:t>
      </w:r>
    </w:p>
    <w:p>
      <w:pPr>
        <w:pStyle w:val="Heading2"/>
      </w:pPr>
      <w:r>
        <w:t>Werkzeugfokus und erwartetes Ergebnis</w:t>
      </w:r>
    </w:p>
    <w:p>
      <w:r>
        <w:t>Hauptfokus: Werkzeug 1 – Druck erkennen.</w:t>
      </w:r>
    </w:p>
    <w:p>
      <w:r>
        <w:t>Diagnostischer Bezug: Die Fallen zu den Werkzeugen 2 bis 5 werden dort sichtbar gemacht, wo sie in der Szene tatsächlich aufgetreten sind.</w:t>
      </w:r>
    </w:p>
    <w:p>
      <w:r>
        <w:t>Erwartetes Ergebnis: Die Gruppe kann benennen, wodurch Druck entstanden ist, wie die Reaktion der betroffenen Person den Verlauf beeinflusst hat und an welchen Stellen eines oder mehrere der fünf Werkzeuge Handlungsspielraum eröffnet hätten.</w:t>
      </w:r>
    </w:p>
    <w:p>
      <w:pPr>
        <w:pStyle w:val="Heading2"/>
      </w:pPr>
      <w:r>
        <w:t>Zeitfenster und Material</w:t>
      </w:r>
    </w:p>
    <w:p>
      <w:r>
        <w:t>Zeitfenster: ca. 12–18 Minuten; bei hoher Beteiligung bis etwa 20 Minuten.</w:t>
      </w:r>
    </w:p>
    <w:p>
      <w:r>
        <w:t>Material: Flipchart oder Whiteboard mit drei Bereichen; kleiner Ideenspeicher „Das probieren wir später aus“; vorbereitete Übersicht der fünf Werkzeuge für die abschließende Verdichtung.</w:t>
      </w:r>
    </w:p>
    <w:p>
      <w:pPr>
        <w:pStyle w:val="Heading2"/>
      </w:pPr>
      <w:r>
        <w:t>Visualisierung</w:t>
      </w:r>
    </w:p>
    <w:tbl>
      <w:tblPr>
        <w:tblStyle w:val="TableGrid"/>
        <w:tblW w:type="auto" w:w="0"/>
        <w:jc w:val="center"/>
        <w:tblLook w:firstColumn="1" w:firstRow="1" w:lastColumn="0" w:lastRow="0" w:noHBand="0" w:noVBand="1" w:val="04A0"/>
      </w:tblPr>
      <w:tblGrid>
        <w:gridCol w:w="3324"/>
        <w:gridCol w:w="3324"/>
        <w:gridCol w:w="3324"/>
      </w:tblGrid>
      <w:tr>
        <w:trPr>
          <w:tblHeader w:val="true"/>
        </w:trPr>
        <w:tc>
          <w:tcPr>
            <w:tcW w:type="dxa" w:w="3324"/>
            <w:shd w:fill="D9EAF7"/>
          </w:tcPr>
          <w:p>
            <w:r>
              <w:t>Was war zu sehen?</w:t>
            </w:r>
          </w:p>
        </w:tc>
        <w:tc>
          <w:tcPr>
            <w:tcW w:type="dxa" w:w="3324"/>
            <w:shd w:fill="D9EAF7"/>
          </w:tcPr>
          <w:p>
            <w:r>
              <w:t>Was hat es ausgelöst?</w:t>
            </w:r>
          </w:p>
        </w:tc>
        <w:tc>
          <w:tcPr>
            <w:tcW w:type="dxa" w:w="3324"/>
            <w:shd w:fill="D9EAF7"/>
          </w:tcPr>
          <w:p>
            <w:r>
              <w:t>Was steckte möglicherweise dahinter?</w:t>
            </w:r>
          </w:p>
        </w:tc>
      </w:tr>
      <w:tr>
        <w:tc>
          <w:tcPr>
            <w:tcW w:type="dxa" w:w="3324"/>
          </w:tcPr>
          <w:p>
            <w:r>
              <w:t>Worte, Stimme, Mimik, Verhalten, Gesprächsverlauf</w:t>
            </w:r>
          </w:p>
        </w:tc>
        <w:tc>
          <w:tcPr>
            <w:tcW w:type="dxa" w:w="3324"/>
          </w:tcPr>
          <w:p>
            <w:r>
              <w:t>Wirkung auf Druck, Klarheit, Länge und Verhandlungsspielraum</w:t>
            </w:r>
          </w:p>
        </w:tc>
        <w:tc>
          <w:tcPr>
            <w:tcW w:type="dxa" w:w="3324"/>
          </w:tcPr>
          <w:p>
            <w:r>
              <w:t>z. B. freundlich bleiben, Streit vermeiden, niemanden enttäuschen</w:t>
            </w:r>
          </w:p>
        </w:tc>
      </w:tr>
    </w:tbl>
    <w:p>
      <w:r>
        <w:t>Zusätzlicher kleiner Bereich: „Das probieren wir später aus“.</w:t>
      </w:r>
    </w:p>
    <w:p>
      <w:pPr>
        <w:pStyle w:val="Heading2"/>
      </w:pPr>
      <w:r>
        <w:t>Interne Beobachtungsmatrix für den Trainer</w:t>
      </w:r>
    </w:p>
    <w:p>
      <w:r>
        <w:t>Die Matrix wird nicht als fünfteiliger Fragebogen abgearbeitet. Sie dient dem Trainer als inhaltlicher Kompass, damit die Werkzeugarchitektur trotz offener Moderation nicht verloren geht.</w:t>
      </w:r>
    </w:p>
    <w:tbl>
      <w:tblPr>
        <w:tblStyle w:val="TableGrid"/>
        <w:tblW w:type="auto" w:w="0"/>
        <w:jc w:val="center"/>
        <w:tblLook w:firstColumn="1" w:firstRow="1" w:lastColumn="0" w:lastRow="0" w:noHBand="0" w:noVBand="1" w:val="04A0"/>
      </w:tblPr>
      <w:tblGrid>
        <w:gridCol w:w="3324"/>
        <w:gridCol w:w="3324"/>
        <w:gridCol w:w="3324"/>
      </w:tblGrid>
      <w:tr>
        <w:trPr>
          <w:tblHeader w:val="true"/>
        </w:trPr>
        <w:tc>
          <w:tcPr>
            <w:tcW w:type="dxa" w:w="3324"/>
            <w:shd w:fill="D9EAF7"/>
          </w:tcPr>
          <w:p>
            <w:r>
              <w:t>Werkzeug</w:t>
            </w:r>
          </w:p>
        </w:tc>
        <w:tc>
          <w:tcPr>
            <w:tcW w:type="dxa" w:w="3324"/>
            <w:shd w:fill="D9EAF7"/>
          </w:tcPr>
          <w:p>
            <w:r>
              <w:t>Mögliche Beobachtung in der Szene</w:t>
            </w:r>
          </w:p>
        </w:tc>
        <w:tc>
          <w:tcPr>
            <w:tcW w:type="dxa" w:w="3324"/>
            <w:shd w:fill="D9EAF7"/>
          </w:tcPr>
          <w:p>
            <w:r>
              <w:t>Eskalationsfalle</w:t>
            </w:r>
          </w:p>
        </w:tc>
      </w:tr>
      <w:tr>
        <w:tc>
          <w:tcPr>
            <w:tcW w:type="dxa" w:w="3324"/>
          </w:tcPr>
          <w:p>
            <w:r>
              <w:t>1. Druck erkennen</w:t>
            </w:r>
          </w:p>
        </w:tc>
        <w:tc>
          <w:tcPr>
            <w:tcW w:type="dxa" w:w="3324"/>
          </w:tcPr>
          <w:p>
            <w:r>
              <w:t>Wiederholtes Nachfragen, Verkleinerung des Aufwands, Schuldappell, Nichtakzeptieren einer Absage.</w:t>
            </w:r>
          </w:p>
        </w:tc>
        <w:tc>
          <w:tcPr>
            <w:tcW w:type="dxa" w:w="3324"/>
          </w:tcPr>
          <w:p>
            <w:r>
              <w:t>Das Kippen des Gesprächs wird spät bemerkt.</w:t>
            </w:r>
          </w:p>
        </w:tc>
      </w:tr>
      <w:tr>
        <w:tc>
          <w:tcPr>
            <w:tcW w:type="dxa" w:w="3324"/>
          </w:tcPr>
          <w:p>
            <w:r>
              <w:t>2. Nicht spiegeln</w:t>
            </w:r>
          </w:p>
        </w:tc>
        <w:tc>
          <w:tcPr>
            <w:tcW w:type="dxa" w:w="3324"/>
          </w:tcPr>
          <w:p>
            <w:r>
              <w:t>Schnelleres Sprechen, steigende Lautstärke, Schärfe, Gereiztheit oder emotionale Ansteckung.</w:t>
            </w:r>
          </w:p>
        </w:tc>
        <w:tc>
          <w:tcPr>
            <w:tcW w:type="dxa" w:w="3324"/>
          </w:tcPr>
          <w:p>
            <w:r>
              <w:t>Die Dynamik des Gegenübers wird übernommen.</w:t>
            </w:r>
          </w:p>
        </w:tc>
      </w:tr>
      <w:tr>
        <w:tc>
          <w:tcPr>
            <w:tcW w:type="dxa" w:w="3324"/>
          </w:tcPr>
          <w:p>
            <w:r>
              <w:t>3. Nicht rechtfertigen</w:t>
            </w:r>
          </w:p>
        </w:tc>
        <w:tc>
          <w:tcPr>
            <w:tcW w:type="dxa" w:w="3324"/>
          </w:tcPr>
          <w:p>
            <w:r>
              <w:t>Immer neue Gründe, Verteidigung der Gründe, zunehmende Erklärungstiefe.</w:t>
            </w:r>
          </w:p>
        </w:tc>
        <w:tc>
          <w:tcPr>
            <w:tcW w:type="dxa" w:w="3324"/>
          </w:tcPr>
          <w:p>
            <w:r>
              <w:t>Die Person erklärt sich immer weiter.</w:t>
            </w:r>
          </w:p>
        </w:tc>
      </w:tr>
      <w:tr>
        <w:tc>
          <w:tcPr>
            <w:tcW w:type="dxa" w:w="3324"/>
          </w:tcPr>
          <w:p>
            <w:r>
              <w:t>4. Kurze klare Grenze</w:t>
            </w:r>
          </w:p>
        </w:tc>
        <w:tc>
          <w:tcPr>
            <w:tcW w:type="dxa" w:w="3324"/>
          </w:tcPr>
          <w:p>
            <w:r>
              <w:t>Abschwächungen, Entschuldigungen, Fragen statt Aussagen, nachträgliches Relativieren.</w:t>
            </w:r>
          </w:p>
        </w:tc>
        <w:tc>
          <w:tcPr>
            <w:tcW w:type="dxa" w:w="3324"/>
          </w:tcPr>
          <w:p>
            <w:r>
              <w:t>Die Grenze bleibt indirekt oder unklar.</w:t>
            </w:r>
          </w:p>
        </w:tc>
      </w:tr>
      <w:tr>
        <w:tc>
          <w:tcPr>
            <w:tcW w:type="dxa" w:w="3324"/>
          </w:tcPr>
          <w:p>
            <w:r>
              <w:t>5. Gespräch beenden / aussteigen</w:t>
            </w:r>
          </w:p>
        </w:tc>
        <w:tc>
          <w:tcPr>
            <w:tcW w:type="dxa" w:w="3324"/>
          </w:tcPr>
          <w:p>
            <w:r>
              <w:t>Weiterdiskutieren trotz erkennbar festgefahrener Situation; überzeugen oder das letzte Wort behalten wollen.</w:t>
            </w:r>
          </w:p>
        </w:tc>
        <w:tc>
          <w:tcPr>
            <w:tcW w:type="dxa" w:w="3324"/>
          </w:tcPr>
          <w:p>
            <w:r>
              <w:t>Die Person bleibt im Gespräch, obwohl ein Ausstieg hilfreicher wäre.</w:t>
            </w:r>
          </w:p>
        </w:tc>
      </w:tr>
    </w:tbl>
    <w:p>
      <w:pPr>
        <w:pStyle w:val="Heading2"/>
      </w:pPr>
      <w:r>
        <w:t>Durchführung</w:t>
      </w:r>
    </w:p>
    <w:p>
      <w:pPr/>
      <w:r>
        <w:t>1. Der Trainer eröffnet offen mit: „Was ist euch aufgefallen?“</w:t>
      </w:r>
    </w:p>
    <w:p>
      <w:pPr/>
      <w:r>
        <w:t>2. Die Teilnehmerinnen dürfen Beobachtungen, Einschätzungen oder Wirkungen in freier Reihenfolge beitragen.</w:t>
      </w:r>
    </w:p>
    <w:p>
      <w:pPr/>
      <w:r>
        <w:t>3. Der Trainer ordnet die Aussagen knapp den drei sichtbaren Bereichen zu.</w:t>
      </w:r>
    </w:p>
    <w:p>
      <w:pPr/>
      <w:r>
        <w:t>4. Bleibt ein Bereich schwach gefüllt, fragt der Trainer dort gezielt nach.</w:t>
      </w:r>
    </w:p>
    <w:p>
      <w:pPr/>
      <w:r>
        <w:t>5. Spontane Lösungsideen werden gewürdigt und im Ideenspeicher notiert, aber noch nicht ausführlich diskutiert.</w:t>
      </w:r>
    </w:p>
    <w:p>
      <w:pPr/>
      <w:r>
        <w:t>6. Zum Ende verbindet der Trainer die Beiträge mit den fünf Werkzeugen. Er benennt nur solche Bezüge ausführlicher, die in der Szene oder den Beiträgen erkennbar waren.</w:t>
      </w:r>
    </w:p>
    <w:p>
      <w:pPr/>
      <w:r>
        <w:t>7. Die fünf Werkzeugnamen werden als roter Faden sichtbar gemacht. Noch nicht aufgetretene Werkzeuge werden knapp als spätere Lernschritte angekündigt, nicht künstlich in die Szene hineingelesen.</w:t>
      </w:r>
    </w:p>
    <w:p>
      <w:pPr>
        <w:pStyle w:val="Heading2"/>
      </w:pPr>
      <w:r>
        <w:t>Mögliche Trainerformulierungen</w:t>
      </w:r>
    </w:p>
    <w:p>
      <w:pPr>
        <w:pStyle w:val="ListBullet"/>
      </w:pPr>
      <w:r>
        <w:t>„Was war konkret sichtbar oder hörbar?“</w:t>
      </w:r>
    </w:p>
    <w:p>
      <w:pPr>
        <w:pStyle w:val="ListBullet"/>
      </w:pPr>
      <w:r>
        <w:t>„Woran konnte man merken, dass aus der Bitte zunehmend Druck wurde?“</w:t>
      </w:r>
    </w:p>
    <w:p>
      <w:pPr>
        <w:pStyle w:val="ListBullet"/>
      </w:pPr>
      <w:r>
        <w:t>„Welche Wirkung hatte das auf den Gesprächsverlauf?“</w:t>
      </w:r>
    </w:p>
    <w:p>
      <w:pPr>
        <w:pStyle w:val="ListBullet"/>
      </w:pPr>
      <w:r>
        <w:t>„Was könnte die Person in diesem Moment vermeiden oder erhalten wollen?“</w:t>
      </w:r>
    </w:p>
    <w:p>
      <w:pPr>
        <w:pStyle w:val="ListBullet"/>
      </w:pPr>
      <w:r>
        <w:t>„Das ist bereits eine mögliche andere Reaktion. Ich schreibe sie in unsere Sammlung – wir probieren solche Möglichkeiten gleich aus.“</w:t>
      </w:r>
    </w:p>
    <w:p>
      <w:pPr>
        <w:pStyle w:val="ListBullet"/>
      </w:pPr>
      <w:r>
        <w:t>„Wenn wir unsere Beobachtungen bündeln, sehen wir mehrere Ansatzpunkte: Druck früher erkennen, nicht in die Schärfe mitgehen, nicht immer weiter erklären, klar begrenzen und ein Gespräch notfalls beenden.“</w:t>
      </w:r>
    </w:p>
    <w:p>
      <w:pPr>
        <w:pStyle w:val="Heading2"/>
      </w:pPr>
      <w:r>
        <w:t>Trainerhinweise</w:t>
      </w:r>
    </w:p>
    <w:p>
      <w:pPr>
        <w:pStyle w:val="ListBullet"/>
      </w:pPr>
      <w:r>
        <w:t>Die drei Leitfragen sind eine sichtbare Ordnungsstruktur, keine drei getrennten Workshoprunden.</w:t>
      </w:r>
    </w:p>
    <w:p>
      <w:pPr>
        <w:pStyle w:val="ListBullet"/>
      </w:pPr>
      <w:r>
        <w:t>Die Werkzeugmatrix ist eine interne Orientierung und kein Pflichtprogramm.</w:t>
      </w:r>
    </w:p>
    <w:p>
      <w:pPr>
        <w:pStyle w:val="ListBullet"/>
      </w:pPr>
      <w:r>
        <w:t>Beiträge nicht belehrend korrigieren; bei Bedarf freundlich zuordnen.</w:t>
      </w:r>
    </w:p>
    <w:p>
      <w:pPr>
        <w:pStyle w:val="ListBullet"/>
      </w:pPr>
      <w:r>
        <w:t>Die freiwillige Teilnehmerin nicht bewerten.</w:t>
      </w:r>
    </w:p>
    <w:p>
      <w:pPr>
        <w:pStyle w:val="ListBullet"/>
      </w:pPr>
      <w:r>
        <w:t>Den Ideenspeicher klein halten: Er verbindet Beobachtung und Handlungsoptionen, ersetzt aber weder die Werkzeugarchitektur noch die Vorbereitung von Slot 4.</w:t>
      </w:r>
    </w:p>
    <w:p>
      <w:pPr>
        <w:pStyle w:val="ListBullet"/>
      </w:pPr>
      <w:r>
        <w:t>Keine sichere oder universelle Wirkung einzelner Werkzeuge behaupten.</w:t>
      </w:r>
    </w:p>
    <w:p>
      <w:pPr>
        <w:pStyle w:val="Heading2"/>
      </w:pPr>
      <w:r>
        <w:t>Übergang</w:t>
      </w:r>
    </w:p>
    <w:p>
      <w:r>
        <w:t>„Wir haben gesehen, wo Druck entsteht und welche Fallen das Gespräch enger machen können. Drei Werkzeuge können wir jetzt sehr gut in kurzen Sequenzen untersuchen: nicht spiegeln, nicht immer weiter rechtfertigen und eine kurze klare Grenze setzen.“</w:t>
      </w:r>
    </w:p>
    <w:p>
      <w:pPr>
        <w:pStyle w:val="Heading1"/>
      </w:pPr>
      <w:r>
        <w:t>9. Slot 4 – Wirkungslabor zu den Werkzeugen 2 bis 4</w:t>
      </w:r>
    </w:p>
    <w:p>
      <w:pPr>
        <w:pStyle w:val="Heading2"/>
      </w:pPr>
      <w:r>
        <w:t>Ziel</w:t>
      </w:r>
    </w:p>
    <w:p>
      <w:r>
        <w:t>Die Teilnehmerinnen erleben in kurzen, überschaubaren Sequenzen die Wirkung der Werkzeuge „Nicht spiegeln“, „Nicht rechtfertigen“ und „Kurze klare Grenze“. Sie vergleichen nicht nur die Außenwirkung, sondern auch, wie stimmig und tragfähig sich unterschiedliche Antwortweisen für die sprechende Person anfühlen.</w:t>
      </w:r>
    </w:p>
    <w:p>
      <w:pPr>
        <w:pStyle w:val="Heading2"/>
      </w:pPr>
      <w:r>
        <w:t>Werkzeugfokus und erwartetes Ergebnis</w:t>
      </w:r>
    </w:p>
    <w:tbl>
      <w:tblPr>
        <w:tblStyle w:val="TableGrid"/>
        <w:tblW w:type="auto" w:w="0"/>
        <w:jc w:val="center"/>
        <w:tblLook w:firstColumn="1" w:firstRow="1" w:lastColumn="0" w:lastRow="0" w:noHBand="0" w:noVBand="1" w:val="04A0"/>
      </w:tblPr>
      <w:tblGrid>
        <w:gridCol w:w="2493"/>
        <w:gridCol w:w="2493"/>
        <w:gridCol w:w="2493"/>
        <w:gridCol w:w="2493"/>
      </w:tblGrid>
      <w:tr>
        <w:trPr>
          <w:tblHeader w:val="true"/>
        </w:trPr>
        <w:tc>
          <w:tcPr>
            <w:tcW w:type="dxa" w:w="2493"/>
            <w:shd w:fill="D9EAF7"/>
          </w:tcPr>
          <w:p>
            <w:r>
              <w:t>Werkzeug</w:t>
            </w:r>
          </w:p>
        </w:tc>
        <w:tc>
          <w:tcPr>
            <w:tcW w:type="dxa" w:w="2493"/>
            <w:shd w:fill="D9EAF7"/>
          </w:tcPr>
          <w:p>
            <w:r>
              <w:t>Eskalationsfalle</w:t>
            </w:r>
          </w:p>
        </w:tc>
        <w:tc>
          <w:tcPr>
            <w:tcW w:type="dxa" w:w="2493"/>
            <w:shd w:fill="D9EAF7"/>
          </w:tcPr>
          <w:p>
            <w:r>
              <w:t>Zielinhalt</w:t>
            </w:r>
          </w:p>
        </w:tc>
        <w:tc>
          <w:tcPr>
            <w:tcW w:type="dxa" w:w="2493"/>
            <w:shd w:fill="D9EAF7"/>
          </w:tcPr>
          <w:p>
            <w:r>
              <w:t>Möglicher Übungszugang</w:t>
            </w:r>
          </w:p>
        </w:tc>
      </w:tr>
      <w:tr>
        <w:tc>
          <w:tcPr>
            <w:tcW w:type="dxa" w:w="2493"/>
          </w:tcPr>
          <w:p>
            <w:r>
              <w:t>2. Nicht spiegeln</w:t>
            </w:r>
          </w:p>
        </w:tc>
        <w:tc>
          <w:tcPr>
            <w:tcW w:type="dxa" w:w="2493"/>
          </w:tcPr>
          <w:p>
            <w:r>
              <w:t>Ich werde selbst lauter, schneller oder schärfer.</w:t>
            </w:r>
          </w:p>
        </w:tc>
        <w:tc>
          <w:tcPr>
            <w:tcW w:type="dxa" w:w="2493"/>
          </w:tcPr>
          <w:p>
            <w:r>
              <w:t>Das eigene Tempo, die Lautstärke und die Schärfe bewusst steuern, statt die Dynamik zu übernehmen.</w:t>
            </w:r>
          </w:p>
        </w:tc>
        <w:tc>
          <w:tcPr>
            <w:tcW w:type="dxa" w:w="2493"/>
          </w:tcPr>
          <w:p>
            <w:r>
              <w:t>Denselben Grenzinhalt mit gespiegelt-schärferer und mit selbst gesteuerter Antwort vergleichen.</w:t>
            </w:r>
          </w:p>
        </w:tc>
      </w:tr>
      <w:tr>
        <w:tc>
          <w:tcPr>
            <w:tcW w:type="dxa" w:w="2493"/>
          </w:tcPr>
          <w:p>
            <w:r>
              <w:t>3. Nicht rechtfertigen</w:t>
            </w:r>
          </w:p>
        </w:tc>
        <w:tc>
          <w:tcPr>
            <w:tcW w:type="dxa" w:w="2493"/>
          </w:tcPr>
          <w:p>
            <w:r>
              <w:t>Ich erkläre mich immer weiter.</w:t>
            </w:r>
          </w:p>
        </w:tc>
        <w:tc>
          <w:tcPr>
            <w:tcW w:type="dxa" w:w="2493"/>
          </w:tcPr>
          <w:p>
            <w:r>
              <w:t>Eine knappe Begründung gegebenenfalls stehen lassen und keine immer neuen Gründe nachliefern.</w:t>
            </w:r>
          </w:p>
        </w:tc>
        <w:tc>
          <w:tcPr>
            <w:tcW w:type="dxa" w:w="2493"/>
          </w:tcPr>
          <w:p>
            <w:r>
              <w:t>Lange Rechtfertigung und kurze Antwort auf denselben Druckimpuls vergleichen.</w:t>
            </w:r>
          </w:p>
        </w:tc>
      </w:tr>
      <w:tr>
        <w:tc>
          <w:tcPr>
            <w:tcW w:type="dxa" w:w="2493"/>
          </w:tcPr>
          <w:p>
            <w:r>
              <w:t>4. Kurze klare Grenze</w:t>
            </w:r>
          </w:p>
        </w:tc>
        <w:tc>
          <w:tcPr>
            <w:tcW w:type="dxa" w:w="2493"/>
          </w:tcPr>
          <w:p>
            <w:r>
              <w:t>Ich bleibe zu indirekt oder entschuldigend.</w:t>
            </w:r>
          </w:p>
        </w:tc>
        <w:tc>
          <w:tcPr>
            <w:tcW w:type="dxa" w:w="2493"/>
          </w:tcPr>
          <w:p>
            <w:r>
              <w:t>Eine Grenze als kurze verständliche Aussage formulieren und nicht sofort relativieren.</w:t>
            </w:r>
          </w:p>
        </w:tc>
        <w:tc>
          <w:tcPr>
            <w:tcW w:type="dxa" w:w="2493"/>
          </w:tcPr>
          <w:p>
            <w:r>
              <w:t>Indirekte Bitte oder Abschwächung mit einer klaren Aussage vergleichen.</w:t>
            </w:r>
          </w:p>
        </w:tc>
      </w:tr>
    </w:tbl>
    <w:p>
      <w:r>
        <w:t>Werkzeug 1 bleibt als Beobachtungsleistung im Hintergrund: Die Teilnehmerinnen achten darauf, wann der Druck zunimmt. Werkzeug 5 kann als nächster notwendiger Schritt sichtbar werden, wird in diesem Slot aber noch nicht vollständig trainiert.</w:t>
      </w:r>
    </w:p>
    <w:p>
      <w:pPr>
        <w:pStyle w:val="Heading2"/>
      </w:pPr>
      <w:r>
        <w:t>Zeitfenster und Material</w:t>
      </w:r>
    </w:p>
    <w:p>
      <w:r>
        <w:t>Zeitfenster: ca. 15–25 Minuten.</w:t>
      </w:r>
    </w:p>
    <w:p>
      <w:r>
        <w:t>Material: vorbereitete Druckimpulse und Antwortvarianten für alle drei Werkzeuge; Ideenspeicher aus Slot 3 als ergänzende Quelle; optional Veränderungskarten wie „eigenes Tempo“, „keine neuen Gründe“, „kurze Aussage“.</w:t>
      </w:r>
    </w:p>
    <w:p>
      <w:r>
        <w:t>Der Ideenspeicher ist ausdrücklich keine ausreichende Vorbereitung. Der Trainer muss mindestens eine belastbare Demonstration und eine mögliche Vertiefung je Werkzeug mitbringen.</w:t>
      </w:r>
    </w:p>
    <w:p>
      <w:pPr>
        <w:pStyle w:val="Heading2"/>
      </w:pPr>
      <w:r>
        <w:t>Verbindlicher Minimalablauf für die Pilotphase</w:t>
      </w:r>
    </w:p>
    <w:p>
      <w:pPr/>
      <w:r>
        <w:t>1. Kurze Rahmung: Es wird keine vollständige Szene gespielt, sondern jeweils eine Antwortwirkung untersucht.</w:t>
      </w:r>
    </w:p>
    <w:p>
      <w:pPr/>
      <w:r>
        <w:t>2. Vorbereitete Demonstration zu Werkzeug 3 und 4: lange Rechtfertigung bzw. indirekte Grenze im Vergleich zu einer kurzen klaren Antwort.</w:t>
      </w:r>
    </w:p>
    <w:p>
      <w:pPr/>
      <w:r>
        <w:t>3. Kurze Variation zu Werkzeug 2: dieselbe oder sehr ähnliche Grenze einmal in übernommener Schärfe und einmal im selbst gesteuerten Tempo sprechen.</w:t>
      </w:r>
    </w:p>
    <w:p>
      <w:pPr/>
      <w:r>
        <w:t>4. Eigenwahrnehmung, Wahrnehmung der drängenden Rolle und Außenbeobachtung erheben.</w:t>
      </w:r>
    </w:p>
    <w:p>
      <w:pPr/>
      <w:r>
        <w:t>5. Eine freiwillige Teilnehmerin erprobt eine eigene Antwort und verändert gezielt nur ein Merkmal.</w:t>
      </w:r>
    </w:p>
    <w:p>
      <w:pPr/>
      <w:r>
        <w:t>6. Je Werkzeug einen knappen Merksatz sichtbar sichern.</w:t>
      </w:r>
    </w:p>
    <w:p>
      <w:pPr>
        <w:pStyle w:val="Heading3"/>
      </w:pPr>
      <w:r>
        <w:t>Beispiel A – Werkzeug 3: Nicht rechtfertigen</w:t>
      </w:r>
    </w:p>
    <w:p>
      <w:r>
        <w:t>Druckimpuls: „Jetzt sag doch wenigstens, warum du nicht helfen willst.“</w:t>
      </w:r>
    </w:p>
    <w:p>
      <w:pPr>
        <w:pStyle w:val="ListBullet"/>
      </w:pPr>
      <w:r>
        <w:t>Rechtfertigungsschleife: „Es ist gerade wirklich kompliziert, weil ich morgen früh rausmuss und vorher noch einiges erledigen muss, und eigentlich hätte ich ja …“</w:t>
      </w:r>
    </w:p>
    <w:p>
      <w:pPr>
        <w:pStyle w:val="ListBullet"/>
      </w:pPr>
      <w:r>
        <w:t>Knappe Antwort: „Ich bleibe heute nicht länger.“</w:t>
      </w:r>
    </w:p>
    <w:p>
      <w:pPr>
        <w:pStyle w:val="ListBullet"/>
      </w:pPr>
      <w:r>
        <w:t>Knappe Antwort mit Begrenzung der Diskussion: „Ich bleibe heute nicht länger und möchte das nicht weiter begründen.“</w:t>
      </w:r>
    </w:p>
    <w:p>
      <w:r>
        <w:t>Moderationsziel: sichtbar machen, dass zusätzliche Gründe neue Ansatzpunkte für weitere Nachfragen eröffnen können. Nicht vermitteln, dass jede Begründung grundsätzlich falsch ist.</w:t>
      </w:r>
    </w:p>
    <w:p>
      <w:pPr>
        <w:pStyle w:val="Heading3"/>
      </w:pPr>
      <w:r>
        <w:t>Beispiel B – Werkzeug 4: Kurze klare Grenze</w:t>
      </w:r>
    </w:p>
    <w:p>
      <w:r>
        <w:t>Druckimpuls: „Du kannst doch wirklich noch zehn Minuten bleiben.“</w:t>
      </w:r>
    </w:p>
    <w:p>
      <w:pPr>
        <w:pStyle w:val="ListBullet"/>
      </w:pPr>
      <w:r>
        <w:t>Indirekt und abschwächend: „Wäre es vielleicht möglich, dass ich heute etwas früher gehe?“</w:t>
      </w:r>
    </w:p>
    <w:p>
      <w:pPr>
        <w:pStyle w:val="ListBullet"/>
      </w:pPr>
      <w:r>
        <w:t>Entschuldigend und relativierend: „Es tut mir leid, aber ich glaube, ich müsste heute eigentlich gehen.“</w:t>
      </w:r>
    </w:p>
    <w:p>
      <w:pPr>
        <w:pStyle w:val="ListBullet"/>
      </w:pPr>
      <w:r>
        <w:t>Kurz und klar: „Nein, ich gehe jetzt.“</w:t>
      </w:r>
    </w:p>
    <w:p>
      <w:r>
        <w:t>Moderationsziel: Unterschied zwischen Bitte, Vermutung und klarer Aussage erfahrbar machen. Die konkrete Formulierung darf von der Teilnehmerin verändert werden.</w:t>
      </w:r>
    </w:p>
    <w:p>
      <w:pPr>
        <w:pStyle w:val="Heading3"/>
      </w:pPr>
      <w:r>
        <w:t>Beispiel C – Werkzeug 2: Nicht spiegeln</w:t>
      </w:r>
    </w:p>
    <w:p>
      <w:r>
        <w:t>Druckimpuls des Trainers zunächst ruhig, dann schneller oder schärfer: „Warum machst du jetzt so ein Problem daraus? Bleib doch einfach noch!“</w:t>
      </w:r>
    </w:p>
    <w:p>
      <w:pPr>
        <w:pStyle w:val="ListBullet"/>
      </w:pPr>
      <w:r>
        <w:t>Spiegelnd: Die Antwort wird ebenfalls schneller, lauter oder schärfer.</w:t>
      </w:r>
    </w:p>
    <w:p>
      <w:pPr>
        <w:pStyle w:val="ListBullet"/>
      </w:pPr>
      <w:r>
        <w:t>Selbst gesteuert: Die Teilnehmerin hält ihr eigenes Tempo und ihre gewählte Lautstärke, beispielsweise: „Nein. Ich gehe jetzt.“</w:t>
      </w:r>
    </w:p>
    <w:p>
      <w:r>
        <w:t>Moderationsziel: Nicht „immer ruhig bleiben“ als moralische Forderung vermitteln. Entscheidend ist, ob die Teilnehmerin die Dynamik bewusst steuert, statt automatisch mitgezogen zu werden.</w:t>
      </w:r>
    </w:p>
    <w:p>
      <w:pPr>
        <w:pStyle w:val="Heading2"/>
      </w:pPr>
      <w:r>
        <w:t>Auswertung je Kurzsequenz</w:t>
      </w:r>
    </w:p>
    <w:p>
      <w:r>
        <w:t>Eigenwahrnehmung der Sprecherin:</w:t>
      </w:r>
    </w:p>
    <w:p>
      <w:pPr>
        <w:pStyle w:val="ListBullet2"/>
      </w:pPr>
      <w:r>
        <w:t>Wie hat sich die Antwort beim Sprechen angefühlt?</w:t>
      </w:r>
    </w:p>
    <w:p>
      <w:pPr>
        <w:pStyle w:val="ListBullet2"/>
      </w:pPr>
      <w:r>
        <w:t>Konntest du sie innerlich tragen oder wirkte sie aufgesetzt?</w:t>
      </w:r>
    </w:p>
    <w:p>
      <w:pPr>
        <w:pStyle w:val="ListBullet2"/>
      </w:pPr>
      <w:r>
        <w:t>Hattest du danach das Gefühl, fertig zu sein, oder wolltest du sofort weiter erklären?</w:t>
      </w:r>
    </w:p>
    <w:p>
      <w:r>
        <w:t>Wahrnehmung der drängenden Rolle:</w:t>
      </w:r>
    </w:p>
    <w:p>
      <w:pPr>
        <w:pStyle w:val="ListBullet2"/>
      </w:pPr>
      <w:r>
        <w:t>Bei welcher Variante hattest du mehr Ansatzpunkte, weiterzufragen?</w:t>
      </w:r>
    </w:p>
    <w:p>
      <w:pPr>
        <w:pStyle w:val="ListBullet2"/>
      </w:pPr>
      <w:r>
        <w:t>Was wirkte wie eine erkennbare Grenze?</w:t>
      </w:r>
    </w:p>
    <w:p>
      <w:pPr>
        <w:pStyle w:val="ListBullet2"/>
      </w:pPr>
      <w:r>
        <w:t>Bei welcher Variante entstand eher zusätzliche Schärfe?</w:t>
      </w:r>
    </w:p>
    <w:p>
      <w:r>
        <w:t>Außenwahrnehmung der Gruppe:</w:t>
      </w:r>
    </w:p>
    <w:p>
      <w:pPr>
        <w:pStyle w:val="ListBullet2"/>
      </w:pPr>
      <w:r>
        <w:t>Was war hörbar oder sichtbar anders?</w:t>
      </w:r>
    </w:p>
    <w:p>
      <w:pPr>
        <w:pStyle w:val="ListBullet2"/>
      </w:pPr>
      <w:r>
        <w:t>Was veränderte sich durch Satzlänge, Tempo, Lautstärke, Betonung oder Mimik?</w:t>
      </w:r>
    </w:p>
    <w:p>
      <w:pPr>
        <w:pStyle w:val="ListBullet2"/>
      </w:pPr>
      <w:r>
        <w:t>Welches der drei Werkzeuge war hier erkennbar?</w:t>
      </w:r>
    </w:p>
    <w:p>
      <w:pPr>
        <w:pStyle w:val="Heading2"/>
      </w:pPr>
      <w:r>
        <w:t>Moderationshilfe bei allgemeinen oder wenigen Beiträgen</w:t>
      </w:r>
    </w:p>
    <w:p>
      <w:pPr>
        <w:pStyle w:val="ListBullet"/>
      </w:pPr>
      <w:r>
        <w:t>Zu Werkzeug 2: „Hat sie ihr eigenes Tempo behalten oder das Tempo des Gegenübers übernommen?“</w:t>
      </w:r>
    </w:p>
    <w:p>
      <w:pPr>
        <w:pStyle w:val="ListBullet"/>
      </w:pPr>
      <w:r>
        <w:t>Zu Werkzeug 3: „Welche neuen Angriffspunkte entstanden durch zusätzliche Erklärungen?“</w:t>
      </w:r>
    </w:p>
    <w:p>
      <w:pPr>
        <w:pStyle w:val="ListBullet"/>
      </w:pPr>
      <w:r>
        <w:t>Zu Werkzeug 4: „War das eine Bitte, eine Vermutung oder eine klare Aussage?“</w:t>
      </w:r>
    </w:p>
    <w:p>
      <w:pPr>
        <w:pStyle w:val="ListBullet"/>
      </w:pPr>
      <w:r>
        <w:t>Übergreifend: „Welche Variante wäre für die Sprecherin selbst alltagstauglich und tragfähig?“</w:t>
      </w:r>
    </w:p>
    <w:p>
      <w:pPr>
        <w:pStyle w:val="Heading2"/>
      </w:pPr>
      <w:r>
        <w:t>Sichtbare Ergebnissicherung</w:t>
      </w:r>
    </w:p>
    <w:p>
      <w:r>
        <w:t>Der Trainer sichert keine umfangreiche Liste von Kommunikationstipps, sondern jeweils einen knappen Zielinhalt unter den drei Werkzeugnamen:</w:t>
      </w:r>
    </w:p>
    <w:tbl>
      <w:tblPr>
        <w:tblStyle w:val="TableGrid"/>
        <w:tblW w:type="auto" w:w="0"/>
        <w:jc w:val="center"/>
        <w:tblLook w:firstColumn="1" w:firstRow="1" w:lastColumn="0" w:lastRow="0" w:noHBand="0" w:noVBand="1" w:val="04A0"/>
      </w:tblPr>
      <w:tblGrid>
        <w:gridCol w:w="4986"/>
        <w:gridCol w:w="4986"/>
      </w:tblGrid>
      <w:tr>
        <w:trPr>
          <w:tblHeader w:val="true"/>
        </w:trPr>
        <w:tc>
          <w:tcPr>
            <w:tcW w:type="dxa" w:w="4986"/>
            <w:shd w:fill="D9EAF7"/>
          </w:tcPr>
          <w:p>
            <w:r>
              <w:t>Werkzeug</w:t>
            </w:r>
          </w:p>
        </w:tc>
        <w:tc>
          <w:tcPr>
            <w:tcW w:type="dxa" w:w="4986"/>
            <w:shd w:fill="D9EAF7"/>
          </w:tcPr>
          <w:p>
            <w:r>
              <w:t>Mögliche gemeinsame Verdichtung</w:t>
            </w:r>
          </w:p>
        </w:tc>
      </w:tr>
      <w:tr>
        <w:tc>
          <w:tcPr>
            <w:tcW w:type="dxa" w:w="4986"/>
          </w:tcPr>
          <w:p>
            <w:r>
              <w:t>2. Nicht spiegeln</w:t>
            </w:r>
          </w:p>
        </w:tc>
        <w:tc>
          <w:tcPr>
            <w:tcW w:type="dxa" w:w="4986"/>
          </w:tcPr>
          <w:p>
            <w:r>
              <w:t>Eigenes Tempo, Lautstärke und Schärfe bewusst steuern.</w:t>
            </w:r>
          </w:p>
        </w:tc>
      </w:tr>
      <w:tr>
        <w:tc>
          <w:tcPr>
            <w:tcW w:type="dxa" w:w="4986"/>
          </w:tcPr>
          <w:p>
            <w:r>
              <w:t>3. Nicht rechtfertigen</w:t>
            </w:r>
          </w:p>
        </w:tc>
        <w:tc>
          <w:tcPr>
            <w:tcW w:type="dxa" w:w="4986"/>
          </w:tcPr>
          <w:p>
            <w:r>
              <w:t>Keine immer neuen Gründe nachliefern.</w:t>
            </w:r>
          </w:p>
        </w:tc>
      </w:tr>
      <w:tr>
        <w:tc>
          <w:tcPr>
            <w:tcW w:type="dxa" w:w="4986"/>
          </w:tcPr>
          <w:p>
            <w:r>
              <w:t>4. Kurze klare Grenze</w:t>
            </w:r>
          </w:p>
        </w:tc>
        <w:tc>
          <w:tcPr>
            <w:tcW w:type="dxa" w:w="4986"/>
          </w:tcPr>
          <w:p>
            <w:r>
              <w:t>Kurz, verständlich und als Aussage formulieren.</w:t>
            </w:r>
          </w:p>
        </w:tc>
      </w:tr>
    </w:tbl>
    <w:p>
      <w:pPr>
        <w:pStyle w:val="Heading2"/>
      </w:pPr>
      <w:r>
        <w:t>Trainerhinweise und Leitplanken</w:t>
      </w:r>
    </w:p>
    <w:p>
      <w:pPr>
        <w:pStyle w:val="ListBullet"/>
      </w:pPr>
      <w:r>
        <w:t>Nicht mehr als zwei oder drei Antwortqualitäten in einer Sequenz vergleichen.</w:t>
      </w:r>
    </w:p>
    <w:p>
      <w:pPr>
        <w:pStyle w:val="ListBullet"/>
      </w:pPr>
      <w:r>
        <w:t>Pro Wiederholung möglichst nur ein zentrales Merkmal verändern.</w:t>
      </w:r>
    </w:p>
    <w:p>
      <w:pPr>
        <w:pStyle w:val="ListBullet"/>
      </w:pPr>
      <w:r>
        <w:t>Die Beispiele sind Vorbereitungshilfen und keine Standardsätze für alle Teilnehmerinnen.</w:t>
      </w:r>
    </w:p>
    <w:p>
      <w:pPr>
        <w:pStyle w:val="ListBullet"/>
      </w:pPr>
      <w:r>
        <w:t>Keine Teilnehmerin zu einer künstlich unterwürfigen, aggressiven oder emotional belastenden Darstellung anweisen.</w:t>
      </w:r>
    </w:p>
    <w:p>
      <w:pPr>
        <w:pStyle w:val="ListBullet"/>
      </w:pPr>
      <w:r>
        <w:t>Zuerst Eigenwahrnehmung, dann Fremdwahrnehmung.</w:t>
      </w:r>
    </w:p>
    <w:p>
      <w:pPr>
        <w:pStyle w:val="ListBullet"/>
      </w:pPr>
      <w:r>
        <w:t>Nicht den vermeintlich perfekten Satz küren. Entscheidend sind Klarheit, Stimmigkeit, Umsetzbarkeit und situative Sicherheit.</w:t>
      </w:r>
    </w:p>
    <w:p>
      <w:pPr>
        <w:pStyle w:val="ListBullet"/>
      </w:pPr>
      <w:r>
        <w:t>Eine klare Antwort garantiert weder Deeskalation noch Zustimmung des Gegenübers.</w:t>
      </w:r>
    </w:p>
    <w:p>
      <w:pPr>
        <w:pStyle w:val="ListBullet"/>
      </w:pPr>
      <w:r>
        <w:t>Wenn Werkzeug 5 spontan thematisiert wird, den Gedanken sichern: Eine Grenze setzen und ein Gespräch tatsächlich beenden sind zwei unterschiedliche Schritte.</w:t>
      </w:r>
    </w:p>
    <w:p>
      <w:pPr>
        <w:pStyle w:val="Heading2"/>
      </w:pPr>
      <w:r>
        <w:t>Übergang zum nächsten Slot</w:t>
      </w:r>
    </w:p>
    <w:p>
      <w:r>
        <w:t>„Wir haben die drei Werkzeuge gerade einzeln unter dem Vergrößerungsglas betrachtet. Als Nächstes führen wir sie wieder in einem vollständigen Gespräch zusammen: Druck erkennen, nicht in die Dynamik mitgehen, nicht weiter rechtfertigen und eine klare Grenze halten.“</w:t>
      </w:r>
    </w:p>
    <w:p>
      <w:pPr>
        <w:pStyle w:val="Heading1"/>
      </w:pPr>
      <w:r>
        <w:t>10. Slot 5 – Vollständige Anwendungsszene: Klar bleiben unter weiterem Druck</w:t>
      </w:r>
    </w:p>
    <w:p>
      <w:pPr>
        <w:pStyle w:val="Heading2"/>
      </w:pPr>
      <w:r>
        <w:t>Ziel</w:t>
      </w:r>
    </w:p>
    <w:p>
      <w:r>
        <w:t>Die Teilnehmerinnen führen die bislang getrennt betrachteten Werkzeuge 1 bis 4 in einem vollständigen Gespräch zusammen. Sie sollen Druck wahrnehmen, die Dynamik des Gegenübers nicht automatisch spiegeln, nicht in eine Rechtfertigungsschleife geraten und eine kurze klare Grenze formulieren beziehungsweise halten.</w:t>
      </w:r>
    </w:p>
    <w:p>
      <w:pPr>
        <w:pStyle w:val="Heading2"/>
      </w:pPr>
      <w:r>
        <w:t>Werkzeugfokus und erwartetes Ergebnis</w:t>
      </w:r>
    </w:p>
    <w:tbl>
      <w:tblPr>
        <w:tblStyle w:val="TableGrid"/>
        <w:tblW w:type="auto" w:w="0"/>
        <w:jc w:val="center"/>
        <w:tblLook w:firstColumn="1" w:firstRow="1" w:lastColumn="0" w:lastRow="0" w:noHBand="0" w:noVBand="1" w:val="04A0"/>
      </w:tblPr>
      <w:tblGrid>
        <w:gridCol w:w="3324"/>
        <w:gridCol w:w="3324"/>
        <w:gridCol w:w="3324"/>
      </w:tblGrid>
      <w:tr>
        <w:trPr>
          <w:tblHeader w:val="true"/>
        </w:trPr>
        <w:tc>
          <w:tcPr>
            <w:tcW w:type="dxa" w:w="3324"/>
            <w:shd w:fill="D9EAF7"/>
          </w:tcPr>
          <w:p>
            <w:r>
              <w:t>Werkzeug</w:t>
            </w:r>
          </w:p>
        </w:tc>
        <w:tc>
          <w:tcPr>
            <w:tcW w:type="dxa" w:w="3324"/>
            <w:shd w:fill="D9EAF7"/>
          </w:tcPr>
          <w:p>
            <w:r>
              <w:t>Beobachtbarer Fokus</w:t>
            </w:r>
          </w:p>
        </w:tc>
        <w:tc>
          <w:tcPr>
            <w:tcW w:type="dxa" w:w="3324"/>
            <w:shd w:fill="D9EAF7"/>
          </w:tcPr>
          <w:p>
            <w:r>
              <w:t>Erwartetes Ergebnis</w:t>
            </w:r>
          </w:p>
        </w:tc>
      </w:tr>
      <w:tr>
        <w:tc>
          <w:tcPr>
            <w:tcW w:type="dxa" w:w="3324"/>
          </w:tcPr>
          <w:p>
            <w:r>
              <w:t>1. Druck erkennen</w:t>
            </w:r>
          </w:p>
        </w:tc>
        <w:tc>
          <w:tcPr>
            <w:tcW w:type="dxa" w:w="3324"/>
          </w:tcPr>
          <w:p>
            <w:r>
              <w:t>Wann wird aus einer Bitte wiederholter sozialer Druck?</w:t>
            </w:r>
          </w:p>
        </w:tc>
        <w:tc>
          <w:tcPr>
            <w:tcW w:type="dxa" w:w="3324"/>
          </w:tcPr>
          <w:p>
            <w:r>
              <w:t>Die Teilnehmerin erkennt mindestens ein Kipp- oder Drucksignal.</w:t>
            </w:r>
          </w:p>
        </w:tc>
      </w:tr>
      <w:tr>
        <w:tc>
          <w:tcPr>
            <w:tcW w:type="dxa" w:w="3324"/>
          </w:tcPr>
          <w:p>
            <w:r>
              <w:t>2. Nicht spiegeln</w:t>
            </w:r>
          </w:p>
        </w:tc>
        <w:tc>
          <w:tcPr>
            <w:tcW w:type="dxa" w:w="3324"/>
          </w:tcPr>
          <w:p>
            <w:r>
              <w:t>Bleibt sie bei eigenem Tempo und eigener Schärfe?</w:t>
            </w:r>
          </w:p>
        </w:tc>
        <w:tc>
          <w:tcPr>
            <w:tcW w:type="dxa" w:w="3324"/>
          </w:tcPr>
          <w:p>
            <w:r>
              <w:t>Sie wird nicht automatisch von Tempo oder Gereiztheit mitgezogen.</w:t>
            </w:r>
          </w:p>
        </w:tc>
      </w:tr>
      <w:tr>
        <w:tc>
          <w:tcPr>
            <w:tcW w:type="dxa" w:w="3324"/>
          </w:tcPr>
          <w:p>
            <w:r>
              <w:t>3. Nicht rechtfertigen</w:t>
            </w:r>
          </w:p>
        </w:tc>
        <w:tc>
          <w:tcPr>
            <w:tcW w:type="dxa" w:w="3324"/>
          </w:tcPr>
          <w:p>
            <w:r>
              <w:t>Liefert sie immer neue Gründe nach?</w:t>
            </w:r>
          </w:p>
        </w:tc>
        <w:tc>
          <w:tcPr>
            <w:tcW w:type="dxa" w:w="3324"/>
          </w:tcPr>
          <w:p>
            <w:r>
              <w:t>Sie lässt eine knappe Antwort stehen oder beendet die Begründungsschleife.</w:t>
            </w:r>
          </w:p>
        </w:tc>
      </w:tr>
      <w:tr>
        <w:tc>
          <w:tcPr>
            <w:tcW w:type="dxa" w:w="3324"/>
          </w:tcPr>
          <w:p>
            <w:r>
              <w:t>4. Kurze klare Grenze</w:t>
            </w:r>
          </w:p>
        </w:tc>
        <w:tc>
          <w:tcPr>
            <w:tcW w:type="dxa" w:w="3324"/>
          </w:tcPr>
          <w:p>
            <w:r>
              <w:t>Ist die Entscheidung als Aussage erkennbar?</w:t>
            </w:r>
          </w:p>
        </w:tc>
        <w:tc>
          <w:tcPr>
            <w:tcW w:type="dxa" w:w="3324"/>
          </w:tcPr>
          <w:p>
            <w:r>
              <w:t>Die Grenze bleibt trotz weiterer Nachfrage verständlich.</w:t>
            </w:r>
          </w:p>
        </w:tc>
      </w:tr>
    </w:tbl>
    <w:p>
      <w:r>
        <w:t>Werkzeug 5 darf spontan genutzt werden, wenn die Teilnehmerin das Gespräch beenden möchte. Es wird in diesem Slot jedoch noch nicht als Pflichtanforderung bewertet.</w:t>
      </w:r>
    </w:p>
    <w:p>
      <w:pPr>
        <w:pStyle w:val="Heading2"/>
      </w:pPr>
      <w:r>
        <w:t>Zeitfenster und Material</w:t>
      </w:r>
    </w:p>
    <w:p>
      <w:r>
        <w:t>Zeitfenster: ca. 15–18 Minuten.</w:t>
      </w:r>
    </w:p>
    <w:p>
      <w:r>
        <w:t>Material: Rollenkarten für Person A und B; Beobachtungsblatt oder Flipchart mit den Werkzeugen 1 bis 4; klar definierter Spielbereich. Optional steht ein zweiter, kurzer Kontext für eine weitere freiwillige Paarung bereit.</w:t>
      </w:r>
    </w:p>
    <w:p>
      <w:pPr>
        <w:pStyle w:val="Heading2"/>
      </w:pPr>
      <w:r>
        <w:t>Ausgangssituation</w:t>
      </w:r>
    </w:p>
    <w:p>
      <w:r>
        <w:t>Primärszenario: Für eine gemeinsame Veranstaltung oder Gruppenaufgabe soll kurzfristig eine zusätzliche Aufgabe übernommen werden. Person A hat bereits entschieden, diese Aufgabe nicht zu übernehmen. Person B möchte die Zusage dennoch erreichen.</w:t>
      </w:r>
    </w:p>
    <w:p>
      <w:r>
        <w:t>Altersgerechte Rahmung: Bei jüngeren Teilnehmerinnen kann es sich um eine schulische Gruppenaufgabe oder eine Aufgabe im Verein handeln; bei Erwachsenen um eine Vereinsveranstaltung, ein ehrenamtliches Projekt oder eine zusätzliche organisatorische Aufgabe am Arbeitsplatz. Die Gesprächsdynamik bleibt gleich.</w:t>
      </w:r>
    </w:p>
    <w:p>
      <w:pPr>
        <w:pStyle w:val="Heading2"/>
      </w:pPr>
      <w:r>
        <w:t>Rollenkarte Person A – freiwillige Teilnehmerin</w:t>
      </w:r>
    </w:p>
    <w:p>
      <w:pPr>
        <w:pStyle w:val="ListBullet"/>
      </w:pPr>
      <w:r>
        <w:t>Du hast entschieden, die zusätzliche Aufgabe nicht zu übernehmen.</w:t>
      </w:r>
    </w:p>
    <w:p>
      <w:pPr>
        <w:pStyle w:val="ListBullet"/>
      </w:pPr>
      <w:r>
        <w:t>Das Verhältnis zu Person B ist dir wichtig; du möchtest nicht als unzuverlässig oder egoistisch gelten.</w:t>
      </w:r>
    </w:p>
    <w:p>
      <w:pPr>
        <w:pStyle w:val="ListBullet"/>
      </w:pPr>
      <w:r>
        <w:t>Du hast einen privaten Grund, möchtest diesen aber nicht ausführlich erklären.</w:t>
      </w:r>
    </w:p>
    <w:p>
      <w:pPr>
        <w:pStyle w:val="ListBullet"/>
      </w:pPr>
      <w:r>
        <w:t>Dein Ziel ist, bei deiner Entscheidung zu bleiben und das Gespräch für dich stimmig zu führen.</w:t>
      </w:r>
    </w:p>
    <w:p>
      <w:pPr>
        <w:pStyle w:val="ListBullet"/>
      </w:pPr>
      <w:r>
        <w:t>Reagiere natürlich. Es gibt keinen vorgegebenen Satz und keine erwartete perfekte Lösung.</w:t>
      </w:r>
    </w:p>
    <w:p>
      <w:pPr>
        <w:pStyle w:val="Heading2"/>
      </w:pPr>
      <w:r>
        <w:t>Rollenkarte Person B – Trainer oder vorbereitete Partnerin</w:t>
      </w:r>
    </w:p>
    <w:p>
      <w:pPr>
        <w:pStyle w:val="ListBullet"/>
      </w:pPr>
      <w:r>
        <w:t>Du möchtest, dass Person A die zusätzliche Aufgabe übernimmt.</w:t>
      </w:r>
    </w:p>
    <w:p>
      <w:pPr>
        <w:pStyle w:val="ListBullet"/>
      </w:pPr>
      <w:r>
        <w:t>Du hältst deine Bitte für zumutbar und glaubst, dass A bei etwas mehr Überzeugung zustimmen könnte.</w:t>
      </w:r>
    </w:p>
    <w:p>
      <w:pPr>
        <w:pStyle w:val="ListBullet"/>
      </w:pPr>
      <w:r>
        <w:t>Bleibe sozial plausibel. Keine Beleidigungen, Drohungen, sexualisierten Inhalte oder körperliche Nähe.</w:t>
      </w:r>
    </w:p>
    <w:p>
      <w:pPr>
        <w:pStyle w:val="ListBullet"/>
      </w:pPr>
      <w:r>
        <w:t>Nutze Nachfragen, Verkleinerung des Aufwands, einen Appell an Zuverlässigkeit und höchstens leichte Gereiztheit.</w:t>
      </w:r>
    </w:p>
    <w:p>
      <w:pPr>
        <w:pStyle w:val="Heading2"/>
      </w:pPr>
      <w:r>
        <w:t>Interne Druckentwicklung für den Trainer</w:t>
      </w:r>
    </w:p>
    <w:p>
      <w:pPr/>
      <w:r>
        <w:t>1. Freundliche Bitte oder erneute Nachfrage.</w:t>
      </w:r>
    </w:p>
    <w:p>
      <w:pPr/>
      <w:r>
        <w:t>2. Verkleinerung: „Es ist doch nur eine kleine Aufgabe.“</w:t>
      </w:r>
    </w:p>
    <w:p>
      <w:pPr/>
      <w:r>
        <w:t>3. Begründungsdruck: „Warum geht das denn nicht?“</w:t>
      </w:r>
    </w:p>
    <w:p>
      <w:pPr/>
      <w:r>
        <w:t>4. Sozialer Appell: „Auf dich konnte man sich sonst immer verlassen.“</w:t>
      </w:r>
    </w:p>
    <w:p>
      <w:pPr/>
      <w:r>
        <w:t>5. Leicht erhöhte Schärfe: „Ich verstehe nicht, warum du daraus so ein Thema machst.“</w:t>
      </w:r>
    </w:p>
    <w:p>
      <w:r>
        <w:t>Nicht jede Stufe muss genutzt werden. Nach drei bis vier Druckimpulsen oder sobald ein klares Lernmuster sichtbar ist, beendet der Trainer die Szene.</w:t>
      </w:r>
    </w:p>
    <w:p>
      <w:pPr>
        <w:pStyle w:val="Heading2"/>
      </w:pPr>
      <w:r>
        <w:t>Beobachtungsauftrag</w:t>
      </w:r>
    </w:p>
    <w:p>
      <w:r>
        <w:t>Die Gruppe beobachtet den vollständigen Verlauf. Sie erhält keine lange Checkliste, sondern vier kurze Fragen:</w:t>
      </w:r>
    </w:p>
    <w:p>
      <w:pPr>
        <w:pStyle w:val="ListBullet"/>
      </w:pPr>
      <w:r>
        <w:t>Woran wurde erkennbar, dass Druck entstand oder zunahm?</w:t>
      </w:r>
    </w:p>
    <w:p>
      <w:pPr>
        <w:pStyle w:val="ListBullet"/>
      </w:pPr>
      <w:r>
        <w:t>Hat die handelnde Person ihr eigenes Tempo und ihre eigene Schärfe behalten?</w:t>
      </w:r>
    </w:p>
    <w:p>
      <w:pPr>
        <w:pStyle w:val="ListBullet"/>
      </w:pPr>
      <w:r>
        <w:t>Wann entstanden neue Rechtfertigungen oder neue Verhandlungsmöglichkeiten?</w:t>
      </w:r>
    </w:p>
    <w:p>
      <w:pPr>
        <w:pStyle w:val="ListBullet"/>
      </w:pPr>
      <w:r>
        <w:t>Wann war eine Grenze als Grenze erkennbar?</w:t>
      </w:r>
    </w:p>
    <w:p>
      <w:pPr>
        <w:pStyle w:val="Heading2"/>
      </w:pPr>
      <w:r>
        <w:t>Durchführung</w:t>
      </w:r>
    </w:p>
    <w:p>
      <w:pPr/>
      <w:r>
        <w:t>1. Rollen getrennt und knapp briefen; Werkzeugbegriffe nicht als Regieanweisung an Person A ausgeben.</w:t>
      </w:r>
    </w:p>
    <w:p>
      <w:pPr/>
      <w:r>
        <w:t>2. Szene zwei bis vier Minuten ohne Freeze oder Trainerkorrektur laufen lassen.</w:t>
      </w:r>
    </w:p>
    <w:p>
      <w:pPr/>
      <w:r>
        <w:t>3. Stoppen, wenn die Grenze erkennbar gehalten wurde, die Person deutlich in eine Rechtfertigungsschleife geraten ist oder nach mehreren Druckimpulsen kein neuer Lerngewinn entsteht.</w:t>
      </w:r>
    </w:p>
    <w:p>
      <w:pPr/>
      <w:r>
        <w:t>4. Zuerst Eigenwahrnehmung von Person A, dann Wahrnehmung von Person B, anschließend Beobachtungen der Gruppe.</w:t>
      </w:r>
    </w:p>
    <w:p>
      <w:pPr/>
      <w:r>
        <w:t>5. Nur die Werkzeuge vertiefen, die im Verlauf tatsächlich sichtbar oder relevant waren.</w:t>
      </w:r>
    </w:p>
    <w:p>
      <w:pPr/>
      <w:r>
        <w:t>6. Optional: Mit einer neuen Paarung und einem leicht veränderten Kontext einen zweiten kurzen Durchgang durchführen. Nicht dieselbe Szene mehrfach mit derselben Teilnehmerin optimieren.</w:t>
      </w:r>
    </w:p>
    <w:p>
      <w:pPr>
        <w:pStyle w:val="Heading2"/>
      </w:pPr>
      <w:r>
        <w:t>Auswertung</w:t>
      </w:r>
    </w:p>
    <w:p>
      <w:r>
        <w:t>An Person A:</w:t>
      </w:r>
    </w:p>
    <w:p>
      <w:pPr>
        <w:pStyle w:val="ListBullet2"/>
      </w:pPr>
      <w:r>
        <w:t>Wann hast du den Druck erstmals wahrgenommen?</w:t>
      </w:r>
    </w:p>
    <w:p>
      <w:pPr>
        <w:pStyle w:val="ListBullet2"/>
      </w:pPr>
      <w:r>
        <w:t>Was hat dich dazu gebracht, weiter zu erklären oder nicht weiter zu erklären?</w:t>
      </w:r>
    </w:p>
    <w:p>
      <w:pPr>
        <w:pStyle w:val="ListBullet2"/>
      </w:pPr>
      <w:r>
        <w:t>Was half dir, bei deinem eigenen Tempo zu bleiben?</w:t>
      </w:r>
    </w:p>
    <w:p>
      <w:pPr>
        <w:pStyle w:val="ListBullet2"/>
      </w:pPr>
      <w:r>
        <w:t>Welche Formulierung oder Haltung war für dich tatsächlich tragfähig?</w:t>
      </w:r>
    </w:p>
    <w:p>
      <w:r>
        <w:t>An Person B:</w:t>
      </w:r>
    </w:p>
    <w:p>
      <w:pPr>
        <w:pStyle w:val="ListBullet2"/>
      </w:pPr>
      <w:r>
        <w:t>Wann hattest du das Gefühl, noch verhandeln zu können?</w:t>
      </w:r>
    </w:p>
    <w:p>
      <w:pPr>
        <w:pStyle w:val="ListBullet2"/>
      </w:pPr>
      <w:r>
        <w:t>Was wirkte wie eine klare Entscheidung?</w:t>
      </w:r>
    </w:p>
    <w:p>
      <w:pPr>
        <w:pStyle w:val="ListBullet2"/>
      </w:pPr>
      <w:r>
        <w:t>Welche Reaktion hat dich eher zu mehr Schärfe eingeladen und welche nicht?</w:t>
      </w:r>
    </w:p>
    <w:p>
      <w:r>
        <w:t>An die Gruppe:</w:t>
      </w:r>
    </w:p>
    <w:p>
      <w:pPr>
        <w:pStyle w:val="ListBullet2"/>
      </w:pPr>
      <w:r>
        <w:t>Welche der vier Werkzeuge waren erkennbar?</w:t>
      </w:r>
    </w:p>
    <w:p>
      <w:pPr>
        <w:pStyle w:val="ListBullet2"/>
      </w:pPr>
      <w:r>
        <w:t>Wo wurde die Situation enger, wo entstand Handlungsspielraum?</w:t>
      </w:r>
    </w:p>
    <w:p>
      <w:pPr>
        <w:pStyle w:val="ListBullet2"/>
      </w:pPr>
      <w:r>
        <w:t>Was war alltagstauglich und nicht nur äußerlich wirkungsvoll?</w:t>
      </w:r>
    </w:p>
    <w:p>
      <w:pPr>
        <w:pStyle w:val="Heading2"/>
      </w:pPr>
      <w:r>
        <w:t>Trainerhinweise und Sicherheitsgrenzen</w:t>
      </w:r>
    </w:p>
    <w:p>
      <w:pPr>
        <w:pStyle w:val="ListBullet"/>
      </w:pPr>
      <w:r>
        <w:t>Die Szene ist eine Anwendung, keine Prüfung der freiwilligen Teilnehmerin.</w:t>
      </w:r>
    </w:p>
    <w:p>
      <w:pPr>
        <w:pStyle w:val="ListBullet"/>
      </w:pPr>
      <w:r>
        <w:t>Die Werkzeuge nicht einzeln abhaken oder benoten. Entscheidend ist der zusammenhängende Gesprächsverlauf.</w:t>
      </w:r>
    </w:p>
    <w:p>
      <w:pPr>
        <w:pStyle w:val="ListBullet"/>
      </w:pPr>
      <w:r>
        <w:t>Nicht behaupten, eine klare Antwort müsse das Gegenüber zur Akzeptanz bringen.</w:t>
      </w:r>
    </w:p>
    <w:p>
      <w:pPr>
        <w:pStyle w:val="ListBullet"/>
      </w:pPr>
      <w:r>
        <w:t>Wenn die Teilnehmerin spontan aussteigt, dies nicht zurückweisen. Der Ausstieg kann bereits die passende Handlung sein.</w:t>
      </w:r>
    </w:p>
    <w:p>
      <w:pPr>
        <w:pStyle w:val="ListBullet"/>
      </w:pPr>
      <w:r>
        <w:t>Keine realen privaten Details erfragen und keine schweren Abhängigkeits- oder Gewaltsituationen in die Szene einbauen.</w:t>
      </w:r>
    </w:p>
    <w:p>
      <w:pPr>
        <w:pStyle w:val="Heading2"/>
      </w:pPr>
      <w:r>
        <w:t>Übergang</w:t>
      </w:r>
    </w:p>
    <w:p>
      <w:r>
        <w:t>„Wir haben gesehen, dass Klarheit nicht bedeutet, endlos standzuhalten. Wenn Grenzen weiter ignoriert werden, braucht es noch ein fünftes Werkzeug: das Gespräch beenden und tatsächlich aussteigen.“</w:t>
      </w:r>
    </w:p>
    <w:p>
      <w:pPr>
        <w:pStyle w:val="Heading1"/>
        <w:pageBreakBefore/>
      </w:pPr>
      <w:r>
        <w:t>11. Slot 6 – Werkzeug 5: Gespräch beenden und aussteigen</w:t>
      </w:r>
    </w:p>
    <w:p>
      <w:pPr>
        <w:pStyle w:val="Heading2"/>
      </w:pPr>
      <w:r>
        <w:t>Ziel</w:t>
      </w:r>
    </w:p>
    <w:p>
      <w:r>
        <w:t>Die Teilnehmerinnen unterscheiden zwischen einer Grenze, einem sprachlichen Gesprächsabschluss und einem tatsächlich vollzogenen Ausstieg. Sie erleben, dass sie ein festgefahrenes Gespräch nicht gewinnen, erklären oder mit dem letzten Wort abschließen müssen. Werkzeug 5 verbindet Entscheidung, Sprache, Bewegung, Distanz und bei Bedarf Unterstützung.</w:t>
      </w:r>
    </w:p>
    <w:p>
      <w:pPr>
        <w:pStyle w:val="Heading2"/>
      </w:pPr>
      <w:r>
        <w:t>Werkzeugfokus und Eskalationsfalle</w:t>
      </w:r>
    </w:p>
    <w:p>
      <w:r>
        <w:rPr>
          <w:b/>
        </w:rPr>
        <w:t xml:space="preserve">Werkzeug 5: </w:t>
      </w:r>
      <w:r>
        <w:t>Gespräch beenden / aussteigen.</w:t>
      </w:r>
    </w:p>
    <w:p>
      <w:r>
        <w:rPr>
          <w:b/>
        </w:rPr>
        <w:t xml:space="preserve">Eskalationsfalle: </w:t>
      </w:r>
      <w:r>
        <w:t>Ich will noch überzeugen, mich verteidigen oder das letzte Wort behalten.</w:t>
      </w:r>
    </w:p>
    <w:p>
      <w:r>
        <w:rPr>
          <w:b/>
        </w:rPr>
        <w:t xml:space="preserve">Erwartetes Ergebnis: </w:t>
      </w:r>
      <w:r>
        <w:t>Die Teilnehmerinnen erkennen mindestens ein Ausstiegssignal und können einen für sie stimmigen Gesprächsabschluss mit einer tatsächlichen Handlung verbinden.</w:t>
      </w:r>
    </w:p>
    <w:p>
      <w:pPr>
        <w:pStyle w:val="Heading2"/>
      </w:pPr>
      <w:r>
        <w:t>Wichtige fachliche Einordnung</w:t>
      </w:r>
    </w:p>
    <w:p>
      <w:pPr>
        <w:pStyle w:val="ListBullet"/>
      </w:pPr>
      <w:r>
        <w:t>Werkzeug 5 ist nicht zwingend der letzte Schritt nach den Werkzeugen 1 bis 4. Ein unmittelbarer Ausstieg kann von Beginn an die passendste Handlung sein.</w:t>
      </w:r>
    </w:p>
    <w:p>
      <w:pPr>
        <w:pStyle w:val="ListBullet"/>
      </w:pPr>
      <w:r>
        <w:t>Ein Ausstieg muss nicht immer angekündigt werden. Wenn Worte die Lage verschärfen oder verzögern könnten, darf die Person direkt handeln.</w:t>
      </w:r>
    </w:p>
    <w:p>
      <w:pPr>
        <w:pStyle w:val="ListBullet"/>
      </w:pPr>
      <w:r>
        <w:t>Nicht jede Situation kann sofort verlassen werden. Abhängigkeiten, Hierarchien, räumliche Hindernisse oder akute Bedrohung erfordern andere Schutz- und Unterstützungsstrategien.</w:t>
      </w:r>
    </w:p>
    <w:p>
      <w:pPr>
        <w:pStyle w:val="ListBullet"/>
      </w:pPr>
      <w:r>
        <w:t>Das Werkzeug erweitert eigene Handlungsmöglichkeiten; es verlagert keine Verantwortung für übergriffiges oder gewalttätiges Verhalten auf die Betroffene.</w:t>
      </w:r>
    </w:p>
    <w:p>
      <w:pPr>
        <w:pStyle w:val="Heading2"/>
      </w:pPr>
      <w:r>
        <w:t>Zeitfenster und Material</w:t>
      </w:r>
    </w:p>
    <w:p>
      <w:r>
        <w:t>Zeitfenster: ca. 20–22 Minuten.</w:t>
      </w:r>
    </w:p>
    <w:p>
      <w:r>
        <w:t>Material: freie Laufstrecke von etwa drei bis fünf Metern; gut sichtbarer Zielbereich „Abstand / sichere Anlaufstelle“; zwei Rollenkarten; optional eine dritte Person als ansprechbare Unterstützung.</w:t>
      </w:r>
    </w:p>
    <w:p>
      <w:pPr>
        <w:pStyle w:val="Heading2"/>
      </w:pPr>
      <w:r>
        <w:t>Raum- und Sicherheitsaufbau</w:t>
      </w:r>
    </w:p>
    <w:p>
      <w:pPr>
        <w:pStyle w:val="ListBullet"/>
      </w:pPr>
      <w:r>
        <w:t>Der Weg zum Zielbereich bleibt frei von Taschen, Stühlen und anderen Hindernissen.</w:t>
      </w:r>
    </w:p>
    <w:p>
      <w:pPr>
        <w:pStyle w:val="ListBullet"/>
      </w:pPr>
      <w:r>
        <w:t>Die drängende Rolle darf den Weg nicht blockieren, nicht berühren und die Teilnehmerin nicht körperlich verfolgen.</w:t>
      </w:r>
    </w:p>
    <w:p>
      <w:pPr>
        <w:pStyle w:val="ListBullet"/>
      </w:pPr>
      <w:r>
        <w:t>Nach dem Gesprächsabschluss ist höchstens ein letzter verbaler Impuls zulässig.</w:t>
      </w:r>
    </w:p>
    <w:p>
      <w:pPr>
        <w:pStyle w:val="ListBullet"/>
      </w:pPr>
      <w:r>
        <w:t>Die Teilnehmerin darf jederzeit stoppen, die Rolle verlassen oder eine andere Form des Ausstiegs wählen.</w:t>
      </w:r>
    </w:p>
    <w:p>
      <w:pPr>
        <w:pStyle w:val="ListBullet"/>
      </w:pPr>
      <w:r>
        <w:t>Der Trainer steht so, dass er die Sequenz sofort beenden und die räumliche Distanz sichern kann.</w:t>
      </w:r>
    </w:p>
    <w:p>
      <w:pPr>
        <w:pStyle w:val="Heading2"/>
      </w:pPr>
      <w:r>
        <w:t>Teil A – Kurze Demonstration: Beenden ist mehr als ein Satz</w:t>
      </w:r>
    </w:p>
    <w:p>
      <w:r>
        <w:t>Trainer und Partnerin zeigen zwei kurze Varianten auf denselben Gesprächsverlauf:</w:t>
      </w:r>
    </w:p>
    <w:p>
      <w:pPr>
        <w:pStyle w:val="ListBullet"/>
      </w:pPr>
      <w:r>
        <w:t>Variante 1: „Ich diskutiere das nicht weiter“ – die Person bleibt jedoch stehen, erklärt erneut und reagiert auf den nächsten Einwand.</w:t>
      </w:r>
    </w:p>
    <w:p>
      <w:pPr>
        <w:pStyle w:val="ListBullet"/>
      </w:pPr>
      <w:r>
        <w:t>Variante 2: kurzer Abschluss – Körper zum Ziel ausrichten – Bewegung beginnen – auf einen letzten Zuruf nicht erneut argumentativ einsteigen.</w:t>
      </w:r>
    </w:p>
    <w:p>
      <w:r>
        <w:t>Kurze Auswertungsfrage: „Woran war der tatsächliche Ausstieg erkennbar?“</w:t>
      </w:r>
    </w:p>
    <w:p>
      <w:pPr>
        <w:pStyle w:val="Heading2"/>
      </w:pPr>
      <w:r>
        <w:t>Teil B – Anwendungsszene</w:t>
      </w:r>
    </w:p>
    <w:p>
      <w:r>
        <w:t>Ausgangslage: Person A hat eine zusätzliche Aufgabe oder Bitte bereits klar abgelehnt. Person B akzeptiert dies weiterhin nicht. Person A darf selbst entscheiden, wann weiteres Reden keinen Nutzen mehr hat.</w:t>
      </w:r>
    </w:p>
    <w:p>
      <w:pPr>
        <w:pStyle w:val="Heading3"/>
      </w:pPr>
      <w:r>
        <w:t>Rollenkarte Person A – freiwillige Teilnehmerin</w:t>
      </w:r>
    </w:p>
    <w:p>
      <w:pPr>
        <w:pStyle w:val="ListBullet"/>
      </w:pPr>
      <w:r>
        <w:t>Du hast deine Entscheidung bereits mitgeteilt.</w:t>
      </w:r>
    </w:p>
    <w:p>
      <w:pPr>
        <w:pStyle w:val="ListBullet"/>
      </w:pPr>
      <w:r>
        <w:t>Du merkst, dass sich das Gespräch wiederholt und du nicht weiter diskutieren möchtest.</w:t>
      </w:r>
    </w:p>
    <w:p>
      <w:pPr>
        <w:pStyle w:val="ListBullet"/>
      </w:pPr>
      <w:r>
        <w:t>Dein Ziel ist, die Situation für dich passend zu beenden und Abstand herzustellen.</w:t>
      </w:r>
    </w:p>
    <w:p>
      <w:pPr>
        <w:pStyle w:val="ListBullet"/>
      </w:pPr>
      <w:r>
        <w:t>Du darfst sprechen, schweigen, einen Satz wiederholen, dich einer anderen Person zuwenden oder direkt gehen.</w:t>
      </w:r>
    </w:p>
    <w:p>
      <w:pPr>
        <w:pStyle w:val="Heading3"/>
      </w:pPr>
      <w:r>
        <w:t>Rollenkarte Person B – Trainer oder vorbereitete Partnerin</w:t>
      </w:r>
    </w:p>
    <w:p>
      <w:pPr>
        <w:pStyle w:val="ListBullet"/>
      </w:pPr>
      <w:r>
        <w:t>Du möchtest noch eine Zusage oder zumindest eine weitere Erklärung erreichen.</w:t>
      </w:r>
    </w:p>
    <w:p>
      <w:pPr>
        <w:pStyle w:val="ListBullet"/>
      </w:pPr>
      <w:r>
        <w:t>Nach der ersten Beendigung darfst du genau einen letzten verbalen Haken setzen.</w:t>
      </w:r>
    </w:p>
    <w:p>
      <w:pPr>
        <w:pStyle w:val="ListBullet"/>
      </w:pPr>
      <w:r>
        <w:t>Beispiele: „Jetzt lauf doch nicht einfach weg.“ – „Das kannst du doch nicht so stehen lassen.“ – „Sag wenigstens noch, warum.“</w:t>
      </w:r>
    </w:p>
    <w:p>
      <w:pPr>
        <w:pStyle w:val="ListBullet"/>
      </w:pPr>
      <w:r>
        <w:t>Nicht folgen, nicht blockieren, nicht berühren und nach dem letzten Impuls keine weitere Eskalation erzeugen.</w:t>
      </w:r>
    </w:p>
    <w:p>
      <w:pPr>
        <w:pStyle w:val="Heading2"/>
      </w:pPr>
      <w:r>
        <w:t>Mögliche Ausstiegsoptionen</w:t>
      </w:r>
    </w:p>
    <w:p>
      <w:r>
        <w:t>Die Beispiele sind Wahlmöglichkeiten und keine vorgeschriebenen Standardsätze:</w:t>
      </w:r>
    </w:p>
    <w:p>
      <w:pPr>
        <w:pStyle w:val="ListBullet"/>
      </w:pPr>
      <w:r>
        <w:t>Kurzer Abschluss und Bewegung: „Ich diskutiere das nicht weiter. Ich gehe jetzt.“</w:t>
      </w:r>
    </w:p>
    <w:p>
      <w:pPr>
        <w:pStyle w:val="ListBullet"/>
      </w:pPr>
      <w:r>
        <w:t>Grenze einmal wiederholen und losgehen: „Nein. Dabei bleibt es.“</w:t>
      </w:r>
    </w:p>
    <w:p>
      <w:pPr>
        <w:pStyle w:val="ListBullet"/>
      </w:pPr>
      <w:r>
        <w:t>Ohne weitere Erklärung gehen.</w:t>
      </w:r>
    </w:p>
    <w:p>
      <w:pPr>
        <w:pStyle w:val="ListBullet"/>
      </w:pPr>
      <w:r>
        <w:t>Sich einer dritten Person oder der Gruppe zuwenden: „Ich brauche kurz Unterstützung.“</w:t>
      </w:r>
    </w:p>
    <w:p>
      <w:pPr>
        <w:pStyle w:val="ListBullet"/>
      </w:pPr>
      <w:r>
        <w:t>Den Ort oder Gesprächsrahmen wechseln, statt im direkten Zweiergespräch zu bleiben.</w:t>
      </w:r>
    </w:p>
    <w:p>
      <w:pPr>
        <w:pStyle w:val="Heading2"/>
      </w:pPr>
      <w:r>
        <w:t>Durchführung</w:t>
      </w:r>
    </w:p>
    <w:p>
      <w:pPr/>
      <w:r>
        <w:t>1. Die Demonstration durchführen und nur den Unterschied zwischen Satz und tatsächlichem Ausstieg sichern.</w:t>
      </w:r>
    </w:p>
    <w:p>
      <w:pPr/>
      <w:r>
        <w:t>2. Person A und B getrennt briefen. Person A erhält keine Pflichtformulierung.</w:t>
      </w:r>
    </w:p>
    <w:p>
      <w:pPr/>
      <w:r>
        <w:t>3. Die Szene laufen lassen, bis A das Gespräch beendet und den Zielbereich erreicht oder erkennbar in der Diskussion bleibt.</w:t>
      </w:r>
    </w:p>
    <w:p>
      <w:pPr/>
      <w:r>
        <w:t>4. Person B darf nach dem Abschluss genau einen letzten verbalen Impuls geben.</w:t>
      </w:r>
    </w:p>
    <w:p>
      <w:pPr/>
      <w:r>
        <w:t>5. Nach dem Durchgang zuerst das Erleben von Person A erfragen, dann die Wahrnehmung von Person B und der Gruppe.</w:t>
      </w:r>
    </w:p>
    <w:p>
      <w:pPr/>
      <w:r>
        <w:t>6. Bei Bedarf mit einer zweiten freiwilligen Teilnehmerin eine andere Ausstiegsoption erproben, nicht denselben Durchgang perfektionieren.</w:t>
      </w:r>
    </w:p>
    <w:p>
      <w:pPr>
        <w:pStyle w:val="Heading2"/>
      </w:pPr>
      <w:r>
        <w:t>Auswertung</w:t>
      </w:r>
    </w:p>
    <w:p>
      <w:r>
        <w:t>Eigenwahrnehmung:</w:t>
      </w:r>
    </w:p>
    <w:p>
      <w:pPr>
        <w:pStyle w:val="ListBullet2"/>
      </w:pPr>
      <w:r>
        <w:t>Wann hattest du das Gefühl, dass weiteres Reden nichts mehr verbessert?</w:t>
      </w:r>
    </w:p>
    <w:p>
      <w:pPr>
        <w:pStyle w:val="ListBullet2"/>
      </w:pPr>
      <w:r>
        <w:t>Was hat den Schritt vom Reden zum Handeln erleichtert oder erschwert?</w:t>
      </w:r>
    </w:p>
    <w:p>
      <w:pPr>
        <w:pStyle w:val="ListBullet2"/>
      </w:pPr>
      <w:r>
        <w:t>War der Abschluss für dich stimmig und umsetzbar?</w:t>
      </w:r>
    </w:p>
    <w:p>
      <w:pPr>
        <w:pStyle w:val="ListBullet2"/>
      </w:pPr>
      <w:r>
        <w:t>Was hat der letzte Zuruf bei dir ausgelöst?</w:t>
      </w:r>
    </w:p>
    <w:p>
      <w:r>
        <w:t>Wahrnehmung der drängenden Rolle:</w:t>
      </w:r>
    </w:p>
    <w:p>
      <w:pPr>
        <w:pStyle w:val="ListBullet2"/>
      </w:pPr>
      <w:r>
        <w:t>Wann war erkennbar, dass nicht mehr verhandelt wird?</w:t>
      </w:r>
    </w:p>
    <w:p>
      <w:pPr>
        <w:pStyle w:val="ListBullet2"/>
      </w:pPr>
      <w:r>
        <w:t>Was hätte dich noch zum Weiterreden eingeladen?</w:t>
      </w:r>
    </w:p>
    <w:p>
      <w:pPr>
        <w:pStyle w:val="ListBullet2"/>
      </w:pPr>
      <w:r>
        <w:t>Was hat den Abschluss deutlich gemacht?</w:t>
      </w:r>
    </w:p>
    <w:p>
      <w:r>
        <w:t>Außenbeobachtung:</w:t>
      </w:r>
    </w:p>
    <w:p>
      <w:pPr>
        <w:pStyle w:val="ListBullet2"/>
      </w:pPr>
      <w:r>
        <w:t>Haben Worte, Körperausrichtung und Bewegung zusammengepasst?</w:t>
      </w:r>
    </w:p>
    <w:p>
      <w:pPr>
        <w:pStyle w:val="ListBullet2"/>
      </w:pPr>
      <w:r>
        <w:t>Blieb die Person nach dem Abschlusssatz stehen oder handelte sie?</w:t>
      </w:r>
    </w:p>
    <w:p>
      <w:pPr>
        <w:pStyle w:val="ListBullet2"/>
      </w:pPr>
      <w:r>
        <w:t>Ließ sie sich durch den letzten Haken wieder in eine Erklärung ziehen?</w:t>
      </w:r>
    </w:p>
    <w:p>
      <w:pPr>
        <w:pStyle w:val="ListBullet2"/>
      </w:pPr>
      <w:r>
        <w:t>Wurde Abstand oder Unterstützung tatsächlich hergestellt?</w:t>
      </w:r>
    </w:p>
    <w:p>
      <w:pPr>
        <w:pStyle w:val="Heading2"/>
      </w:pPr>
      <w:r>
        <w:t>Sichtbare Ergebnissicherung</w:t>
      </w:r>
    </w:p>
    <w:tbl>
      <w:tblPr>
        <w:tblStyle w:val="TableGrid"/>
        <w:tblW w:type="auto" w:w="0"/>
        <w:jc w:val="center"/>
        <w:tblLook w:firstColumn="1" w:firstRow="1" w:lastColumn="0" w:lastRow="0" w:noHBand="0" w:noVBand="1" w:val="04A0"/>
      </w:tblPr>
      <w:tblGrid>
        <w:gridCol w:w="4986"/>
        <w:gridCol w:w="4986"/>
      </w:tblGrid>
      <w:tr>
        <w:trPr>
          <w:tblHeader w:val="true"/>
        </w:trPr>
        <w:tc>
          <w:tcPr>
            <w:tcW w:type="dxa" w:w="4986"/>
            <w:shd w:fill="D9EAF7"/>
          </w:tcPr>
          <w:p>
            <w:r>
              <w:t>Werkzeug 5</w:t>
            </w:r>
          </w:p>
        </w:tc>
        <w:tc>
          <w:tcPr>
            <w:tcW w:type="dxa" w:w="4986"/>
            <w:shd w:fill="D9EAF7"/>
          </w:tcPr>
          <w:p>
            <w:r>
              <w:t>Gemeinsame Verdichtung</w:t>
            </w:r>
          </w:p>
        </w:tc>
      </w:tr>
      <w:tr>
        <w:tc>
          <w:tcPr>
            <w:tcW w:type="dxa" w:w="4986"/>
          </w:tcPr>
          <w:p>
            <w:r>
              <w:t>Erkennen</w:t>
            </w:r>
          </w:p>
        </w:tc>
        <w:tc>
          <w:tcPr>
            <w:tcW w:type="dxa" w:w="4986"/>
          </w:tcPr>
          <w:p>
            <w:r>
              <w:t>Weiteres Reden verbessert meine Lage nicht mehr.</w:t>
            </w:r>
          </w:p>
        </w:tc>
      </w:tr>
      <w:tr>
        <w:tc>
          <w:tcPr>
            <w:tcW w:type="dxa" w:w="4986"/>
          </w:tcPr>
          <w:p>
            <w:r>
              <w:t>Beenden</w:t>
            </w:r>
          </w:p>
        </w:tc>
        <w:tc>
          <w:tcPr>
            <w:tcW w:type="dxa" w:w="4986"/>
          </w:tcPr>
          <w:p>
            <w:r>
              <w:t>Kurz abschließen, wenn das hilfreich und sicher ist.</w:t>
            </w:r>
          </w:p>
        </w:tc>
      </w:tr>
      <w:tr>
        <w:tc>
          <w:tcPr>
            <w:tcW w:type="dxa" w:w="4986"/>
          </w:tcPr>
          <w:p>
            <w:r>
              <w:t>Handeln</w:t>
            </w:r>
          </w:p>
        </w:tc>
        <w:tc>
          <w:tcPr>
            <w:tcW w:type="dxa" w:w="4986"/>
          </w:tcPr>
          <w:p>
            <w:r>
              <w:t>Nicht erneut erklären; Abstand herstellen oder den Gesprächsrahmen verlassen.</w:t>
            </w:r>
          </w:p>
        </w:tc>
      </w:tr>
      <w:tr>
        <w:tc>
          <w:tcPr>
            <w:tcW w:type="dxa" w:w="4986"/>
          </w:tcPr>
          <w:p>
            <w:r>
              <w:t>Unterstützung</w:t>
            </w:r>
          </w:p>
        </w:tc>
        <w:tc>
          <w:tcPr>
            <w:tcW w:type="dxa" w:w="4986"/>
          </w:tcPr>
          <w:p>
            <w:r>
              <w:t>Bei Bedarf andere Personen, Öffentlichkeit oder Hilfe einbeziehen.</w:t>
            </w:r>
          </w:p>
        </w:tc>
      </w:tr>
    </w:tbl>
    <w:p>
      <w:pPr>
        <w:pStyle w:val="Heading2"/>
      </w:pPr>
      <w:r>
        <w:t>Trainerhinweise und Grenzen</w:t>
      </w:r>
    </w:p>
    <w:p>
      <w:pPr>
        <w:pStyle w:val="ListBullet"/>
      </w:pPr>
      <w:r>
        <w:t>Nicht moralisch bewerten, wie früh oder spät eine Teilnehmerin aussteigt.</w:t>
      </w:r>
    </w:p>
    <w:p>
      <w:pPr>
        <w:pStyle w:val="ListBullet"/>
      </w:pPr>
      <w:r>
        <w:t>Kein rückwärts gerichtetes Weggehen verlangen. Die Teilnehmerin wählt einen sicheren, für sie kontrollierbaren Bewegungsweg.</w:t>
      </w:r>
    </w:p>
    <w:p>
      <w:pPr>
        <w:pStyle w:val="ListBullet"/>
      </w:pPr>
      <w:r>
        <w:t>Kein Blickkontaktgebot. Wahrnehmung der Umgebung und ein sicherer Weg sind wichtiger.</w:t>
      </w:r>
    </w:p>
    <w:p>
      <w:pPr>
        <w:pStyle w:val="ListBullet"/>
      </w:pPr>
      <w:r>
        <w:t>Nicht vermitteln, dass ein Abschlusssatz in bedrohlichen Situationen erforderlich ist.</w:t>
      </w:r>
    </w:p>
    <w:p>
      <w:pPr>
        <w:pStyle w:val="ListBullet"/>
      </w:pPr>
      <w:r>
        <w:t>Bei Hinweisen auf reale Gewalt, Kontrolle oder fehlende Ausstiegsmöglichkeiten nicht in Problemlösung vor der Gruppe gehen. Unterstützungsangebote und Einzelansprache nach dem Kurs bereithalten.</w:t>
      </w:r>
    </w:p>
    <w:p>
      <w:pPr>
        <w:pStyle w:val="Heading2"/>
      </w:pPr>
      <w:r>
        <w:t>Übergang</w:t>
      </w:r>
    </w:p>
    <w:p>
      <w:r>
        <w:t>„Die fünf Werkzeuge sind keine Sammlung perfekter Sätze. Sie bilden einen Handlungsbogen, aus dem je nach Situation einzelne oder mehrere Werkzeuge genutzt werden können. Zum Abschluss führen wir diesen Bogen noch einmal zusammen.“</w:t>
      </w:r>
    </w:p>
    <w:p>
      <w:pPr>
        <w:pStyle w:val="Heading1"/>
      </w:pPr>
      <w:r>
        <w:t>12. Slot 7 – Zusammenführung und Alltagstransfer</w:t>
      </w:r>
    </w:p>
    <w:p>
      <w:pPr>
        <w:pStyle w:val="Heading2"/>
      </w:pPr>
      <w:r>
        <w:t>Ziel</w:t>
      </w:r>
    </w:p>
    <w:p>
      <w:r>
        <w:t>Die Teilnehmerinnen sichern die fünf Werkzeuge als überschaubares Merkmodell, verbinden sie mit den zugehörigen Eskalationsfallen und wählen einen persönlichen, realistischen Transferpunkt. Der Abschluss erzeugt keine zusätzliche Fülle an Kommunikationstipps.</w:t>
      </w:r>
    </w:p>
    <w:p>
      <w:pPr>
        <w:pStyle w:val="Heading2"/>
      </w:pPr>
      <w:r>
        <w:t>Zeitfenster und Material</w:t>
      </w:r>
    </w:p>
    <w:p>
      <w:r>
        <w:t>Zeitfenster: ca. 7–10 Minuten.</w:t>
      </w:r>
    </w:p>
    <w:p>
      <w:r>
        <w:t>Material: fünf Werkzeugkarten oder ein vorbereitetes Abschlussflipchart; kleine persönliche Transferkarte pro Teilnehmerin.</w:t>
      </w:r>
    </w:p>
    <w:p>
      <w:pPr>
        <w:pStyle w:val="Heading2"/>
      </w:pPr>
      <w:r>
        <w:t>Abschlussbild der fünf Werkzeuge</w:t>
      </w:r>
    </w:p>
    <w:tbl>
      <w:tblPr>
        <w:tblStyle w:val="TableGrid"/>
        <w:tblW w:type="auto" w:w="0"/>
        <w:jc w:val="center"/>
        <w:tblLook w:firstColumn="1" w:firstRow="1" w:lastColumn="0" w:lastRow="0" w:noHBand="0" w:noVBand="1" w:val="04A0"/>
      </w:tblPr>
      <w:tblGrid>
        <w:gridCol w:w="3324"/>
        <w:gridCol w:w="3324"/>
        <w:gridCol w:w="3324"/>
      </w:tblGrid>
      <w:tr>
        <w:trPr>
          <w:tblHeader w:val="true"/>
        </w:trPr>
        <w:tc>
          <w:tcPr>
            <w:tcW w:type="dxa" w:w="3324"/>
            <w:shd w:fill="D9EAF7"/>
          </w:tcPr>
          <w:p>
            <w:r>
              <w:t>Werkzeug</w:t>
            </w:r>
          </w:p>
        </w:tc>
        <w:tc>
          <w:tcPr>
            <w:tcW w:type="dxa" w:w="3324"/>
            <w:shd w:fill="D9EAF7"/>
          </w:tcPr>
          <w:p>
            <w:r>
              <w:t>Typische Falle</w:t>
            </w:r>
          </w:p>
        </w:tc>
        <w:tc>
          <w:tcPr>
            <w:tcW w:type="dxa" w:w="3324"/>
            <w:shd w:fill="D9EAF7"/>
          </w:tcPr>
          <w:p>
            <w:r>
              <w:t>Kurzer innerer Anker</w:t>
            </w:r>
          </w:p>
        </w:tc>
      </w:tr>
      <w:tr>
        <w:tc>
          <w:tcPr>
            <w:tcW w:type="dxa" w:w="3324"/>
          </w:tcPr>
          <w:p>
            <w:r>
              <w:t>1. Druck erkennen</w:t>
            </w:r>
          </w:p>
        </w:tc>
        <w:tc>
          <w:tcPr>
            <w:tcW w:type="dxa" w:w="3324"/>
          </w:tcPr>
          <w:p>
            <w:r>
              <w:t>Ich merke zu spät, dass das Gespräch kippt.</w:t>
            </w:r>
          </w:p>
        </w:tc>
        <w:tc>
          <w:tcPr>
            <w:tcW w:type="dxa" w:w="3324"/>
          </w:tcPr>
          <w:p>
            <w:r>
              <w:t>Was passiert hier gerade?</w:t>
            </w:r>
          </w:p>
        </w:tc>
      </w:tr>
      <w:tr>
        <w:tc>
          <w:tcPr>
            <w:tcW w:type="dxa" w:w="3324"/>
          </w:tcPr>
          <w:p>
            <w:r>
              <w:t>2. Nicht spiegeln</w:t>
            </w:r>
          </w:p>
        </w:tc>
        <w:tc>
          <w:tcPr>
            <w:tcW w:type="dxa" w:w="3324"/>
          </w:tcPr>
          <w:p>
            <w:r>
              <w:t>Ich werde selbst lauter, schneller oder schärfer.</w:t>
            </w:r>
          </w:p>
        </w:tc>
        <w:tc>
          <w:tcPr>
            <w:tcW w:type="dxa" w:w="3324"/>
          </w:tcPr>
          <w:p>
            <w:r>
              <w:t>Ich bestimme mein Tempo.</w:t>
            </w:r>
          </w:p>
        </w:tc>
      </w:tr>
      <w:tr>
        <w:tc>
          <w:tcPr>
            <w:tcW w:type="dxa" w:w="3324"/>
          </w:tcPr>
          <w:p>
            <w:r>
              <w:t>3. Nicht rechtfertigen</w:t>
            </w:r>
          </w:p>
        </w:tc>
        <w:tc>
          <w:tcPr>
            <w:tcW w:type="dxa" w:w="3324"/>
          </w:tcPr>
          <w:p>
            <w:r>
              <w:t>Ich erkläre mich immer weiter.</w:t>
            </w:r>
          </w:p>
        </w:tc>
        <w:tc>
          <w:tcPr>
            <w:tcW w:type="dxa" w:w="3324"/>
          </w:tcPr>
          <w:p>
            <w:r>
              <w:t>Ich muss keine neuen Gründe liefern.</w:t>
            </w:r>
          </w:p>
        </w:tc>
      </w:tr>
      <w:tr>
        <w:tc>
          <w:tcPr>
            <w:tcW w:type="dxa" w:w="3324"/>
          </w:tcPr>
          <w:p>
            <w:r>
              <w:t>4. Kurze klare Grenze</w:t>
            </w:r>
          </w:p>
        </w:tc>
        <w:tc>
          <w:tcPr>
            <w:tcW w:type="dxa" w:w="3324"/>
          </w:tcPr>
          <w:p>
            <w:r>
              <w:t>Ich bleibe zu indirekt oder entschuldigend.</w:t>
            </w:r>
          </w:p>
        </w:tc>
        <w:tc>
          <w:tcPr>
            <w:tcW w:type="dxa" w:w="3324"/>
          </w:tcPr>
          <w:p>
            <w:r>
              <w:t>Meine Entscheidung darf erkennbar sein.</w:t>
            </w:r>
          </w:p>
        </w:tc>
      </w:tr>
      <w:tr>
        <w:tc>
          <w:tcPr>
            <w:tcW w:type="dxa" w:w="3324"/>
          </w:tcPr>
          <w:p>
            <w:r>
              <w:t>5. Beenden / aussteigen</w:t>
            </w:r>
          </w:p>
        </w:tc>
        <w:tc>
          <w:tcPr>
            <w:tcW w:type="dxa" w:w="3324"/>
          </w:tcPr>
          <w:p>
            <w:r>
              <w:t>Ich will noch überzeugen oder das letzte Wort.</w:t>
            </w:r>
          </w:p>
        </w:tc>
        <w:tc>
          <w:tcPr>
            <w:tcW w:type="dxa" w:w="3324"/>
          </w:tcPr>
          <w:p>
            <w:r>
              <w:t>Ich darf aufhören zu reden und handeln.</w:t>
            </w:r>
          </w:p>
        </w:tc>
      </w:tr>
    </w:tbl>
    <w:p>
      <w:pPr>
        <w:pStyle w:val="Heading2"/>
      </w:pPr>
      <w:r>
        <w:t>Durchführung</w:t>
      </w:r>
    </w:p>
    <w:p>
      <w:pPr/>
      <w:r>
        <w:t>1. Der Trainer legt oder zeigt die fünf Werkzeugkarten in der gemeinsam entwickelten Reihenfolge.</w:t>
      </w:r>
    </w:p>
    <w:p>
      <w:pPr/>
      <w:r>
        <w:t>2. Die Gruppe ergänzt aus der Erinnerung kurz, welche Falle zu welchem Werkzeug gehört. Der Trainer schließt Lücken ohne Prüfcharakter.</w:t>
      </w:r>
    </w:p>
    <w:p>
      <w:pPr/>
      <w:r>
        <w:t>3. Der Trainer betont: Die Werkzeuge sind keine starre Treppe. Ein Ausstieg kann sofort passend sein; in anderen Situationen reichen einzelne Werkzeuge.</w:t>
      </w:r>
    </w:p>
    <w:p>
      <w:pPr/>
      <w:r>
        <w:t>4. Jede Teilnehmerin füllt still eine persönliche Transferkarte aus. Teilen im Plenum ist freiwillig.</w:t>
      </w:r>
    </w:p>
    <w:p>
      <w:pPr/>
      <w:r>
        <w:t>5. Der Trainer schließt mit einem kurzen Ausblick auf die nächste Einheit beziehungsweise spätere Anwendungsszenarien.</w:t>
      </w:r>
    </w:p>
    <w:p>
      <w:pPr>
        <w:pStyle w:val="Heading2"/>
      </w:pPr>
      <w:r>
        <w:t>Persönliche Transferkarte</w:t>
      </w:r>
    </w:p>
    <w:p>
      <w:pPr>
        <w:pStyle w:val="ListBullet"/>
      </w:pPr>
      <w:r>
        <w:t>Ein Drucksignal, das ich früher bemerken möchte: ______________________________</w:t>
      </w:r>
    </w:p>
    <w:p>
      <w:pPr>
        <w:pStyle w:val="ListBullet"/>
      </w:pPr>
      <w:r>
        <w:t>Ein Werkzeug, das ich ausprobieren möchte: __________________________________</w:t>
      </w:r>
    </w:p>
    <w:p>
      <w:pPr>
        <w:pStyle w:val="ListBullet"/>
      </w:pPr>
      <w:r>
        <w:t>Ein Satz oder eine Handlung, die zu mir passen könnte: _________________________</w:t>
      </w:r>
    </w:p>
    <w:p>
      <w:pPr>
        <w:pStyle w:val="ListBullet"/>
      </w:pPr>
      <w:r>
        <w:t>Woran ich merke, dass ich aussteigen möchte: _________________________________</w:t>
      </w:r>
    </w:p>
    <w:p>
      <w:pPr>
        <w:pStyle w:val="Heading2"/>
      </w:pPr>
      <w:r>
        <w:t>Optionale Transferaufgabe zwischen den Einheiten</w:t>
      </w:r>
    </w:p>
    <w:p>
      <w:r>
        <w:t>Die Teilnehmerinnen beobachten bis zur nächsten Einheit eine niedrigschwellige Alltagssituation, in der eine Bitte, Nachfrage oder Diskussion Druck erzeugt. Es ist keine Konfrontation zu provozieren. Sie notieren lediglich: Welches Drucksignal war erkennbar und welches Werkzeug hätte grundsätzlich gepasst?</w:t>
      </w:r>
    </w:p>
    <w:p>
      <w:pPr>
        <w:pStyle w:val="Heading2"/>
      </w:pPr>
      <w:r>
        <w:t>Abschlussformulierung</w:t>
      </w:r>
    </w:p>
    <w:p>
      <w:pPr>
        <w:ind w:left="397"/>
      </w:pPr>
      <w:r>
        <w:rPr>
          <w:i/>
        </w:rPr>
        <w:t>„Es geht nicht darum, immer ruhig, schlagfertig oder perfekt zu reagieren. Entscheidend ist, früher zu bemerken, was geschieht, die eigene Handlungsmöglichkeit zu erweitern und ein Gespräch beenden zu dürfen, wenn es nicht mehr hilfreich ist.“</w:t>
      </w:r>
    </w:p>
    <w:p>
      <w:pPr>
        <w:pStyle w:val="Heading1"/>
      </w:pPr>
      <w:r>
        <w:t>13. Pilotdurchführung: Vorbereitung und Zeitsteuerung</w:t>
      </w:r>
    </w:p>
    <w:p>
      <w:pPr>
        <w:pStyle w:val="Heading2"/>
      </w:pPr>
      <w:r>
        <w:t>Verbindliche Vorbereitung des Trainers</w:t>
      </w:r>
    </w:p>
    <w:p>
      <w:pPr>
        <w:pStyle w:val="ListBullet"/>
      </w:pPr>
      <w:r>
        <w:t>Werkzeugkarten 1 bis 5 und Eskalationsfallen vorbereiten.</w:t>
      </w:r>
    </w:p>
    <w:p>
      <w:pPr>
        <w:pStyle w:val="ListBullet"/>
      </w:pPr>
      <w:r>
        <w:t>Rolleninformationen für Slot 2, 5 und 6 getrennt ausdrucken oder auf Karten bereithalten.</w:t>
      </w:r>
    </w:p>
    <w:p>
      <w:pPr>
        <w:pStyle w:val="ListBullet"/>
      </w:pPr>
      <w:r>
        <w:t>Für Slot 4 je Werkzeug mindestens einen Druckimpuls und zwei Vergleichsvarianten vorbereiten.</w:t>
      </w:r>
    </w:p>
    <w:p>
      <w:pPr>
        <w:pStyle w:val="ListBullet"/>
      </w:pPr>
      <w:r>
        <w:t>Flipchart für Slot 3 mit drei Leitfragen und kleinem Ideenspeicher vorbereiten.</w:t>
      </w:r>
    </w:p>
    <w:p>
      <w:pPr>
        <w:pStyle w:val="ListBullet"/>
      </w:pPr>
      <w:r>
        <w:t>Beobachtungsübersicht für Slot 5 mit den Werkzeugen 1 bis 4 vorbereiten.</w:t>
      </w:r>
    </w:p>
    <w:p>
      <w:pPr>
        <w:pStyle w:val="ListBullet"/>
      </w:pPr>
      <w:r>
        <w:t>Freien und sicheren Bewegungsweg sowie Zielbereich für Slot 6 herstellen.</w:t>
      </w:r>
    </w:p>
    <w:p>
      <w:pPr>
        <w:pStyle w:val="ListBullet"/>
      </w:pPr>
      <w:r>
        <w:t>Transferkarten für Slot 7 vorbereiten.</w:t>
      </w:r>
    </w:p>
    <w:p>
      <w:pPr>
        <w:pStyle w:val="ListBullet"/>
      </w:pPr>
      <w:r>
        <w:t>Regionale Unterstützungsangebote und das Hilfetelefon „Gewalt gegen Frauen“ für Bedarfsfälle griffbereit halten.</w:t>
      </w:r>
    </w:p>
    <w:p>
      <w:pPr>
        <w:pStyle w:val="Heading2"/>
      </w:pPr>
      <w:r>
        <w:t>Zeitsteuerung bei hoher Beteiligung</w:t>
      </w:r>
    </w:p>
    <w:p>
      <w:r>
        <w:t>Die Einheit ist auf etwa 90 Minuten ausgelegt. Die Zeit wird nicht durch Verkürzung der Sicherheitsrahmung oder durch Weglassen von Werkzeug 5 gewonnen. Vorrangig gekürzt werden:</w:t>
      </w:r>
    </w:p>
    <w:p>
      <w:pPr>
        <w:pStyle w:val="ListBullet"/>
      </w:pPr>
      <w:r>
        <w:t>zusätzliche Wortbeiträge nach ausreichender Mustererkennung in Slot 3,</w:t>
      </w:r>
    </w:p>
    <w:p>
      <w:pPr>
        <w:pStyle w:val="ListBullet"/>
      </w:pPr>
      <w:r>
        <w:t>eine dritte Demonstrationsvariante in Slot 4,</w:t>
      </w:r>
    </w:p>
    <w:p>
      <w:pPr>
        <w:pStyle w:val="ListBullet"/>
      </w:pPr>
      <w:r>
        <w:t>optionale zweite Durchgänge in Slot 5 oder 6,</w:t>
      </w:r>
    </w:p>
    <w:p>
      <w:pPr>
        <w:pStyle w:val="ListBullet"/>
      </w:pPr>
      <w:r>
        <w:t>freiwillige Plenumsteilung der Transferkarten.</w:t>
      </w:r>
    </w:p>
    <w:p>
      <w:pPr>
        <w:pStyle w:val="Heading2"/>
      </w:pPr>
      <w:r>
        <w:t>Stop- und Anpassungskriterien</w:t>
      </w:r>
    </w:p>
    <w:p>
      <w:pPr>
        <w:pStyle w:val="ListBullet"/>
      </w:pPr>
      <w:r>
        <w:t>Die Szene erzeugt keinen zusätzlichen Lerngewinn und beginnt sich zu wiederholen.</w:t>
      </w:r>
    </w:p>
    <w:p>
      <w:pPr>
        <w:pStyle w:val="ListBullet"/>
      </w:pPr>
      <w:r>
        <w:t>Eine freiwillige Teilnehmerin wirkt sichtbar überfordert oder möchte aus der Rolle.</w:t>
      </w:r>
    </w:p>
    <w:p>
      <w:pPr>
        <w:pStyle w:val="ListBullet"/>
      </w:pPr>
      <w:r>
        <w:t>Die drängende Rolle überschreitet die vorgegebene Intensität.</w:t>
      </w:r>
    </w:p>
    <w:p>
      <w:pPr>
        <w:pStyle w:val="ListBullet"/>
      </w:pPr>
      <w:r>
        <w:t>Die Gruppe verschiebt sich von Beobachtung zu persönlicher Bewertung oder Schuldzuweisung.</w:t>
      </w:r>
    </w:p>
    <w:p>
      <w:pPr>
        <w:pStyle w:val="ListBullet"/>
      </w:pPr>
      <w:r>
        <w:t>Reale Gewalterfahrungen werden eingebracht und benötigen einen anderen, geschützten Rahmen.</w:t>
      </w:r>
    </w:p>
    <w:p>
      <w:pPr>
        <w:pStyle w:val="Heading1"/>
      </w:pPr>
      <w:r>
        <w:t>14. Kopiervorlagen für die Pilotphase</w:t>
      </w:r>
    </w:p>
    <w:p>
      <w:pPr>
        <w:pStyle w:val="Heading2"/>
      </w:pPr>
      <w:r>
        <w:t>A. Beobachtungsblatt Slot 5</w:t>
      </w:r>
    </w:p>
    <w:tbl>
      <w:tblPr>
        <w:tblStyle w:val="TableGrid"/>
        <w:tblW w:type="auto" w:w="0"/>
        <w:jc w:val="center"/>
        <w:tblLook w:firstColumn="1" w:firstRow="1" w:lastColumn="0" w:lastRow="0" w:noHBand="0" w:noVBand="1" w:val="04A0"/>
      </w:tblPr>
      <w:tblGrid>
        <w:gridCol w:w="3324"/>
        <w:gridCol w:w="3324"/>
        <w:gridCol w:w="3324"/>
      </w:tblGrid>
      <w:tr>
        <w:trPr>
          <w:tblHeader w:val="true"/>
        </w:trPr>
        <w:tc>
          <w:tcPr>
            <w:tcW w:type="dxa" w:w="3324"/>
            <w:shd w:fill="D9EAF7"/>
          </w:tcPr>
          <w:p>
            <w:r>
              <w:t>Werkzeug</w:t>
            </w:r>
          </w:p>
        </w:tc>
        <w:tc>
          <w:tcPr>
            <w:tcW w:type="dxa" w:w="3324"/>
            <w:shd w:fill="D9EAF7"/>
          </w:tcPr>
          <w:p>
            <w:r>
              <w:t>Was war beobachtbar?</w:t>
            </w:r>
          </w:p>
        </w:tc>
        <w:tc>
          <w:tcPr>
            <w:tcW w:type="dxa" w:w="3324"/>
            <w:shd w:fill="D9EAF7"/>
          </w:tcPr>
          <w:p>
            <w:r>
              <w:t>Welche Wirkung hatte es?</w:t>
            </w:r>
          </w:p>
        </w:tc>
      </w:tr>
      <w:tr>
        <w:tc>
          <w:tcPr>
            <w:tcW w:type="dxa" w:w="3324"/>
          </w:tcPr>
          <w:p>
            <w:r>
              <w:t>1. Druck erkennen</w:t>
            </w:r>
          </w:p>
        </w:tc>
        <w:tc>
          <w:tcPr>
            <w:tcW w:type="dxa" w:w="3324"/>
          </w:tcPr>
          <w:p>
            <w:r>
              <w:br/>
            </w:r>
          </w:p>
        </w:tc>
        <w:tc>
          <w:tcPr>
            <w:tcW w:type="dxa" w:w="3324"/>
          </w:tcPr>
          <w:p>
            <w:r>
              <w:br/>
            </w:r>
          </w:p>
        </w:tc>
      </w:tr>
      <w:tr>
        <w:tc>
          <w:tcPr>
            <w:tcW w:type="dxa" w:w="3324"/>
          </w:tcPr>
          <w:p>
            <w:r>
              <w:t>2. Nicht spiegeln</w:t>
            </w:r>
          </w:p>
        </w:tc>
        <w:tc>
          <w:tcPr>
            <w:tcW w:type="dxa" w:w="3324"/>
          </w:tcPr>
          <w:p>
            <w:r>
              <w:br/>
            </w:r>
          </w:p>
        </w:tc>
        <w:tc>
          <w:tcPr>
            <w:tcW w:type="dxa" w:w="3324"/>
          </w:tcPr>
          <w:p>
            <w:r>
              <w:br/>
            </w:r>
          </w:p>
        </w:tc>
      </w:tr>
      <w:tr>
        <w:tc>
          <w:tcPr>
            <w:tcW w:type="dxa" w:w="3324"/>
          </w:tcPr>
          <w:p>
            <w:r>
              <w:t>3. Nicht rechtfertigen</w:t>
            </w:r>
          </w:p>
        </w:tc>
        <w:tc>
          <w:tcPr>
            <w:tcW w:type="dxa" w:w="3324"/>
          </w:tcPr>
          <w:p>
            <w:r>
              <w:br/>
            </w:r>
          </w:p>
        </w:tc>
        <w:tc>
          <w:tcPr>
            <w:tcW w:type="dxa" w:w="3324"/>
          </w:tcPr>
          <w:p>
            <w:r>
              <w:br/>
            </w:r>
          </w:p>
        </w:tc>
      </w:tr>
      <w:tr>
        <w:tc>
          <w:tcPr>
            <w:tcW w:type="dxa" w:w="3324"/>
          </w:tcPr>
          <w:p>
            <w:r>
              <w:t>4. Kurze klare Grenze</w:t>
            </w:r>
          </w:p>
        </w:tc>
        <w:tc>
          <w:tcPr>
            <w:tcW w:type="dxa" w:w="3324"/>
          </w:tcPr>
          <w:p>
            <w:r>
              <w:br/>
            </w:r>
          </w:p>
        </w:tc>
        <w:tc>
          <w:tcPr>
            <w:tcW w:type="dxa" w:w="3324"/>
          </w:tcPr>
          <w:p>
            <w:r>
              <w:br/>
            </w:r>
          </w:p>
        </w:tc>
      </w:tr>
    </w:tbl>
    <w:p>
      <w:pPr>
        <w:pStyle w:val="Heading2"/>
      </w:pPr>
      <w:r>
        <w:t>B. Transferkarte Slot 7</w:t>
      </w:r>
    </w:p>
    <w:p>
      <w:r>
        <w:t>Ein Drucksignal, das ich früher bemerken möchte:</w:t>
      </w:r>
    </w:p>
    <w:p>
      <w:r>
        <w:t>________________________________________________________________________</w:t>
      </w:r>
    </w:p>
    <w:p>
      <w:r>
        <w:t>Ein Werkzeug, das ich ausprobieren möchte:</w:t>
      </w:r>
    </w:p>
    <w:p>
      <w:r>
        <w:t>________________________________________________________________________</w:t>
      </w:r>
    </w:p>
    <w:p>
      <w:r>
        <w:t>Ein Satz oder eine Handlung, die zu mir passen könnte:</w:t>
      </w:r>
    </w:p>
    <w:p>
      <w:r>
        <w:t>________________________________________________________________________</w:t>
      </w:r>
    </w:p>
    <w:p>
      <w:r>
        <w:t>Woran ich merke, dass ich ein Gespräch beenden oder aussteigen möchte:</w:t>
      </w:r>
    </w:p>
    <w:p>
      <w:r>
        <w:t>________________________________________________________________________</w:t>
      </w:r>
    </w:p>
    <w:p>
      <w:pPr>
        <w:pStyle w:val="Heading2"/>
      </w:pPr>
      <w:r>
        <w:t>C. Kurzcheck vor Beginn der Einheit</w:t>
      </w:r>
    </w:p>
    <w:p>
      <w:r>
        <w:t>☐ Sind die fünf Werkzeuge und ihre Fallen für den Trainer klar?</w:t>
      </w:r>
    </w:p>
    <w:p>
      <w:r>
        <w:t>☐ Sind alle Rollen niedrigschwellig und frei von persönlichen oder sexualisierten Zuspitzungen?</w:t>
      </w:r>
    </w:p>
    <w:p>
      <w:r>
        <w:t>☐ Sind Demonstrationsbeispiele für Slot 4 vorbereitet?</w:t>
      </w:r>
    </w:p>
    <w:p>
      <w:r>
        <w:t>☐ Ist der Bewegungsweg in Slot 6 frei und sicher?</w:t>
      </w:r>
    </w:p>
    <w:p>
      <w:r>
        <w:t>☐ Sind Freiwilligkeit, Stoppsignal und Beobachterrolle erklärt?</w:t>
      </w:r>
    </w:p>
    <w:p>
      <w:r>
        <w:t>☐ Sind Unterstützungsinformationen verfügbar, falls reale Erfahrungen aktiviert werden?</w:t>
      </w:r>
    </w:p>
    <w:p>
      <w:pPr>
        <w:pStyle w:val="Heading1"/>
      </w:pPr>
      <w:r>
        <w:t>15. Konsistenz- und Pilotbewertung</w:t>
      </w:r>
    </w:p>
    <w:p>
      <w:r>
        <w:t>Die Einheit ist mit dieser Fassung vollständig bis zur Pilotdurchführung ausgearbeitet. Alle fünf Werkzeuge sind im Einführungskapitel sichtbar, den Übungselementen verbindlich zugeordnet und in einem abschließenden Merkmodell zusammengeführt.</w:t>
      </w:r>
    </w:p>
    <w:p>
      <w:r>
        <w:t>Slot 3 trainiert die Beobachtung und ordnet die Eskalationsfallen. Slot 4 macht die Werkzeuge 2 bis 4 gezielt erfahrbar. Slot 5 integriert die Werkzeuge 1 bis 4 in einen vollständigen Gesprächsverlauf. Slot 6 operationalisiert Werkzeug 5 einschließlich Bewegung, Distanz, Unterstützung und Grenzen der Anwendbarkeit. Slot 7 sichert die fünf Werkzeuge und den persönlichen Transfer.</w:t>
      </w:r>
    </w:p>
    <w:p>
      <w:r>
        <w:t>Offen bleiben nach der Pilotierung ausschließlich erfahrungsbasierte Anpassungen, etwa tatsächlicher Zeitbedarf, Gruppendynamik, Verständlichkeit einzelner Formulierungen und notwendige Varianten für unterschiedliche Altersgruppen. Diese Punkte sind keine konzeptionellen Lücken mehr, sondern Gegenstand der Evaluation.</w:t>
      </w:r>
    </w:p>
    <w:sectPr w:rsidR="00FC693F" w:rsidRPr="0006063C" w:rsidSect="00034616">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