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Gewaltschutzkurs für Frauen und Mädchen</w:t>
        <w:br/>
        <w:t>Vorläufige 10-Einheiten-Matrix – Phase B / B3</w:t>
      </w:r>
    </w:p>
    <w:p>
      <w:pPr>
        <w:jc w:val="center"/>
      </w:pPr>
      <w:r>
        <w:rPr>
          <w:i/>
        </w:rPr>
        <w:t>Arbeitsstand v0.1 · zur fachlichen Prüfung · keine minutengenaue Sessionplanung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rPr>
          <w:tblHeader w:val="true"/>
          <w:cantSplit/>
        </w:trPr>
        <w:tc>
          <w:tcPr>
            <w:tcW w:type="dxa" w:w="2448"/>
          </w:tcPr>
          <w:p>
            <w:r>
              <w:rPr>
                <w:b/>
              </w:rPr>
              <w:t>Status</w:t>
            </w:r>
          </w:p>
        </w:tc>
        <w:tc>
          <w:tcPr>
            <w:tcW w:type="dxa" w:w="8352"/>
          </w:tcPr>
          <w:p>
            <w:r>
              <w:t>Vorläufiger B3-Arbeitsstand. Änderungen in B4/B5 ausdrücklich möglich.</w:t>
            </w:r>
          </w:p>
        </w:tc>
      </w:tr>
    </w:tbl>
    <w:p>
      <w:pPr>
        <w:pStyle w:val="Heading1"/>
      </w:pPr>
      <w:r>
        <w:t>1. Zweck und Leseregel</w:t>
      </w:r>
    </w:p>
    <w:p>
      <w:pPr>
        <w:pStyle w:val="ListBullet"/>
      </w:pPr>
      <w:r>
        <w:t>Die Matrix ordnet die in Phase A auditierten Übungen nach ihrer tatsächlichen Lernfunktion in einen vorläufigen Kursbogen über zehn Einheiten ein.</w:t>
      </w:r>
    </w:p>
    <w:p>
      <w:pPr>
        <w:pStyle w:val="ListBullet"/>
      </w:pPr>
      <w:r>
        <w:t>Sie zeigt pro Einheit die Funktion im Kursverlauf, wenige tragende Kompetenzziele, die vorgesehenen Übungen, Voraussetzungen, SV-Schnittstellen, Belastungshinweise und offene Entscheidungen.</w:t>
      </w:r>
    </w:p>
    <w:p>
      <w:pPr>
        <w:pStyle w:val="ListBullet"/>
      </w:pPr>
      <w:r>
        <w:t>Physische Selbstverteidigung wird nur über Zeitfenster und Schnittstellen berücksichtigt. Konkrete Technikplanung bleibt bis zu einem separaten SV-Audit offen.</w:t>
      </w:r>
    </w:p>
    <w:p>
      <w:pPr>
        <w:pStyle w:val="ListBullet"/>
      </w:pPr>
      <w:r>
        <w:t>Zusätzlich werden bestätigte Übungs-Gaps sichtbar geführt. Eine leere Matrixzelle allein ist kein Gap.</w:t>
      </w:r>
    </w:p>
    <w:p>
      <w:pPr>
        <w:pStyle w:val="Heading1"/>
      </w:pPr>
      <w:r>
        <w:t>2. Vorläufige 10-Einheiten-Matrix</w:t>
      </w:r>
    </w:p>
    <w:p>
      <w:pPr>
        <w:pStyle w:val="Heading2"/>
      </w:pPr>
      <w:r>
        <w:t>E1 – Wahrnehmen, einordnen und erste Grenze setzen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rPr>
          <w:tblHeader w:val="true"/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Funktion im Kursverlauf</w:t>
            </w:r>
          </w:p>
        </w:tc>
        <w:tc>
          <w:tcPr>
            <w:tcW w:type="dxa" w:w="8352"/>
            <w:vAlign w:val="top"/>
          </w:tcPr>
          <w:p>
            <w:r>
              <w:t>Sicherheitsrahmen und erste einfache Handlungskette: wahrnehmen → Abstand erkennen → stabil stehen → Grenze setzen → Position verändern.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Tragende Kompetenzziele</w:t>
            </w:r>
          </w:p>
        </w:tc>
        <w:tc>
          <w:tcPr>
            <w:tcW w:type="dxa" w:w="8352"/>
            <w:vAlign w:val="top"/>
          </w:tcPr>
          <w:p>
            <w:r>
              <w:t>GV1/F-GV1; GV2/F-GV2; SB1/F-SB1; SB2/F-SB2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Übungen und Rolle</w:t>
            </w:r>
          </w:p>
        </w:tc>
        <w:tc>
          <w:tcPr>
            <w:tcW w:type="dxa" w:w="8352"/>
            <w:vAlign w:val="top"/>
          </w:tcPr>
          <w:p>
            <w:r>
              <w:t>U13 Gewaltthermometer – Einführung; U11 Guter und schlechter Abstand – Wahrnehmung; U16 stabiler Stand – Grundform; U18 STOP! – Grenzhandlung; U14 Risikobilder – Pilot/optional.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Reifegradbeitrag</w:t>
            </w:r>
          </w:p>
        </w:tc>
        <w:tc>
          <w:tcPr>
            <w:tcW w:type="dxa" w:w="8352"/>
            <w:vAlign w:val="top"/>
          </w:tcPr>
          <w:p>
            <w:r>
              <w:t>GV1/GV2 R1; SB1/SB2 R2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Voraussetzungen</w:t>
            </w:r>
          </w:p>
        </w:tc>
        <w:tc>
          <w:tcPr>
            <w:tcW w:type="dxa" w:w="8352"/>
            <w:vAlign w:val="top"/>
          </w:tcPr>
          <w:p>
            <w:r>
              <w:t>Keine fachlichen Voraussetzungen; Sicherheits-, Freiwilligkeits- und Beteiligungsrahmen.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SV-Schnittstelle</w:t>
            </w:r>
          </w:p>
        </w:tc>
        <w:tc>
          <w:tcPr>
            <w:tcW w:type="dxa" w:w="8352"/>
            <w:vAlign w:val="top"/>
          </w:tcPr>
          <w:p>
            <w:r>
              <w:t>Stand, offene Hände, Beweglichkeit, Wegbewegung; noch kein systematischer Technikblock.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Belastung/Sicherheit</w:t>
            </w:r>
          </w:p>
        </w:tc>
        <w:tc>
          <w:tcPr>
            <w:tcW w:type="dxa" w:w="8352"/>
            <w:vAlign w:val="top"/>
          </w:tcPr>
          <w:p>
            <w:r>
              <w:t>Niedrige Belastung; U13 nicht mit schweren Szenarien überfrachten.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Offene Entscheidung</w:t>
            </w:r>
          </w:p>
        </w:tc>
        <w:tc>
          <w:tcPr>
            <w:tcW w:type="dxa" w:w="8352"/>
            <w:vAlign w:val="top"/>
          </w:tcPr>
          <w:p>
            <w:r>
              <w:t>U14 nur bei Materialrevision und klarer Pilotkennzeichnung.</w:t>
            </w:r>
          </w:p>
        </w:tc>
      </w:tr>
    </w:tbl>
    <w:p/>
    <w:p>
      <w:pPr>
        <w:pStyle w:val="Heading2"/>
      </w:pPr>
      <w:r>
        <w:t>E2 – Gespräch beeinflussen, begrenzen und beenden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rPr>
          <w:tblHeader w:val="true"/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Funktion im Kursverlauf</w:t>
            </w:r>
          </w:p>
        </w:tc>
        <w:tc>
          <w:tcPr>
            <w:tcW w:type="dxa" w:w="8352"/>
            <w:vAlign w:val="top"/>
          </w:tcPr>
          <w:p>
            <w:r>
              <w:t>Praktische Auswahl zwischen verlangsamen, begrenzen, STOP, beenden, Hilfe und Ausstieg.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Tragende Kompetenzziele</w:t>
            </w:r>
          </w:p>
        </w:tc>
        <w:tc>
          <w:tcPr>
            <w:tcW w:type="dxa" w:w="8352"/>
            <w:vAlign w:val="top"/>
          </w:tcPr>
          <w:p>
            <w:r>
              <w:t>GV3/F-GV3; SB3/F-SB3; SB4/F-SB4/F-SB5; SB5/F-SB6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Übungen und Rolle</w:t>
            </w:r>
          </w:p>
        </w:tc>
        <w:tc>
          <w:tcPr>
            <w:tcW w:type="dxa" w:w="8352"/>
            <w:vAlign w:val="top"/>
          </w:tcPr>
          <w:p>
            <w:r>
              <w:t>Neue Übung GAP 1 als Anker; U07 Bedrängnis – räumliche Anwendung; U18 STOP! – Wiederaufnahme unter Missachtung; U06 optional.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Reifegradbeitrag</w:t>
            </w:r>
          </w:p>
        </w:tc>
        <w:tc>
          <w:tcPr>
            <w:tcW w:type="dxa" w:w="8352"/>
            <w:vAlign w:val="top"/>
          </w:tcPr>
          <w:p>
            <w:r>
              <w:t>GV3 R2; SB3–SB5 R2; SB2 erste Anwendung über R2 hinaus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Voraussetzungen</w:t>
            </w:r>
          </w:p>
        </w:tc>
        <w:tc>
          <w:tcPr>
            <w:tcW w:type="dxa" w:w="8352"/>
            <w:vAlign w:val="top"/>
          </w:tcPr>
          <w:p>
            <w:r>
              <w:t>SB1/SB2 mindestens R2; GV1/GV2 mindestens R1; reale Ausstiegsoption.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SV-Schnittstelle</w:t>
            </w:r>
          </w:p>
        </w:tc>
        <w:tc>
          <w:tcPr>
            <w:tcW w:type="dxa" w:w="8352"/>
            <w:vAlign w:val="top"/>
          </w:tcPr>
          <w:p>
            <w:r>
              <w:t>Position verändern, Arme verfügbar halten, Zugriffslinie verlassen.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Belastung/Sicherheit</w:t>
            </w:r>
          </w:p>
        </w:tc>
        <w:tc>
          <w:tcPr>
            <w:tcW w:type="dxa" w:w="8352"/>
            <w:vAlign w:val="top"/>
          </w:tcPr>
          <w:p>
            <w:r>
              <w:t>Neutrale Alltagssituationen; häusliche Gewalt bewusst noch nicht als Grundmodell.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Offene Entscheidung</w:t>
            </w:r>
          </w:p>
        </w:tc>
        <w:tc>
          <w:tcPr>
            <w:tcW w:type="dxa" w:w="8352"/>
            <w:vAlign w:val="top"/>
          </w:tcPr>
          <w:p>
            <w:r>
              <w:t>GAP 1 bestätigt: neutrale Gesprächsgrundübung erforderlich.</w:t>
            </w:r>
          </w:p>
        </w:tc>
      </w:tr>
    </w:tbl>
    <w:p/>
    <w:p>
      <w:pPr>
        <w:pStyle w:val="Heading2"/>
      </w:pPr>
      <w:r>
        <w:t>E3 – Sexualisierte Grenzüberschreitung, Machtgefälle und Hilfe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rPr>
          <w:tblHeader w:val="true"/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Funktion im Kursverlauf</w:t>
            </w:r>
          </w:p>
        </w:tc>
        <w:tc>
          <w:tcPr>
            <w:tcW w:type="dxa" w:w="8352"/>
            <w:vAlign w:val="top"/>
          </w:tcPr>
          <w:p>
            <w:r>
              <w:t>Bekannte Fähigkeiten in einem sexualisierten und institutionellen Kontext anwenden.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Tragende Kompetenzziele</w:t>
            </w:r>
          </w:p>
        </w:tc>
        <w:tc>
          <w:tcPr>
            <w:tcW w:type="dxa" w:w="8352"/>
            <w:vAlign w:val="top"/>
          </w:tcPr>
          <w:p>
            <w:r>
              <w:t>F-GV6; SB2/F-SB2; SB3/F-SB3; SB6/F-SB7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Übungen und Rolle</w:t>
            </w:r>
          </w:p>
        </w:tc>
        <w:tc>
          <w:tcPr>
            <w:tcW w:type="dxa" w:w="8352"/>
            <w:vAlign w:val="top"/>
          </w:tcPr>
          <w:p>
            <w:r>
              <w:t>U02 Arbeitsplatz – Anker; U01 unterwegs oder U03 Wohnungssuche – Transfer; Hilfeaktivierung aus GAP 3; U12 höchstens Kurzimpuls.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Reifegradbeitrag</w:t>
            </w:r>
          </w:p>
        </w:tc>
        <w:tc>
          <w:tcPr>
            <w:tcW w:type="dxa" w:w="8352"/>
            <w:vAlign w:val="top"/>
          </w:tcPr>
          <w:p>
            <w:r>
              <w:t>F-GV6 R2; SB2/SB3 R3-Anbahnung; F-SB7 R2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Voraussetzungen</w:t>
            </w:r>
          </w:p>
        </w:tc>
        <w:tc>
          <w:tcPr>
            <w:tcW w:type="dxa" w:w="8352"/>
            <w:vAlign w:val="top"/>
          </w:tcPr>
          <w:p>
            <w:r>
              <w:t>GV1/GV2 R1; SB2 R2; JIT-Rahmung zu Unerwünschtheit, Zustimmung, Macht und Abhängigkeit.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SV-Schnittstelle</w:t>
            </w:r>
          </w:p>
        </w:tc>
        <w:tc>
          <w:tcPr>
            <w:tcW w:type="dxa" w:w="8352"/>
            <w:vAlign w:val="top"/>
          </w:tcPr>
          <w:p>
            <w:r>
              <w:t>Übergang zu Schutz, Distanzgewinn und Kontaktunterbrechung nur als Schnittstelle.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Belastung/Sicherheit</w:t>
            </w:r>
          </w:p>
        </w:tc>
        <w:tc>
          <w:tcPr>
            <w:tcW w:type="dxa" w:w="8352"/>
            <w:vAlign w:val="top"/>
          </w:tcPr>
          <w:p>
            <w:r>
              <w:t>Vorankündigung, keine intimen Kontakte, keine Überraschungsberührungen.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Offene Entscheidung</w:t>
            </w:r>
          </w:p>
        </w:tc>
        <w:tc>
          <w:tcPr>
            <w:tcW w:type="dxa" w:w="8352"/>
            <w:vAlign w:val="top"/>
          </w:tcPr>
          <w:p>
            <w:r>
              <w:t>U01 oder U03 als Transfer auswählen; keine drei vollständigen F4-Rollenspiele.</w:t>
            </w:r>
          </w:p>
        </w:tc>
      </w:tr>
    </w:tbl>
    <w:p/>
    <w:p>
      <w:pPr>
        <w:pStyle w:val="Heading2"/>
      </w:pPr>
      <w:r>
        <w:t>E4 – Hilfe aktivieren und Drittintervention beginnen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rPr>
          <w:tblHeader w:val="true"/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Funktion im Kursverlauf</w:t>
            </w:r>
          </w:p>
        </w:tc>
        <w:tc>
          <w:tcPr>
            <w:tcW w:type="dxa" w:w="8352"/>
            <w:vAlign w:val="top"/>
          </w:tcPr>
          <w:p>
            <w:r>
              <w:t>Hilfe von einer allgemeinen Idee zu einer wiederholbar ausführbaren Handlung entwickeln.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Tragende Kompetenzziele</w:t>
            </w:r>
          </w:p>
        </w:tc>
        <w:tc>
          <w:tcPr>
            <w:tcW w:type="dxa" w:w="8352"/>
            <w:vAlign w:val="top"/>
          </w:tcPr>
          <w:p>
            <w:r>
              <w:t>F-SB7; F-SB8; F-SB9; GV3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Übungen und Rolle</w:t>
            </w:r>
          </w:p>
        </w:tc>
        <w:tc>
          <w:tcPr>
            <w:tcW w:type="dxa" w:w="8352"/>
            <w:vAlign w:val="top"/>
          </w:tcPr>
          <w:p>
            <w:r>
              <w:t>Neue Übung GAP 3 Hilfe–Delegation–Notruf–Übergabe; U17 Streit in der Bar – erste gestufte Drittintervention; kurzer Rückgriff auf U02.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Reifegradbeitrag</w:t>
            </w:r>
          </w:p>
        </w:tc>
        <w:tc>
          <w:tcPr>
            <w:tcW w:type="dxa" w:w="8352"/>
            <w:vAlign w:val="top"/>
          </w:tcPr>
          <w:p>
            <w:r>
              <w:t>F-SB7 R2–R3; F-SB8 R2; F-SB9 R2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Voraussetzungen</w:t>
            </w:r>
          </w:p>
        </w:tc>
        <w:tc>
          <w:tcPr>
            <w:tcW w:type="dxa" w:w="8352"/>
            <w:vAlign w:val="top"/>
          </w:tcPr>
          <w:p>
            <w:r>
              <w:t>GV2 mindestens R1; Hilfeansprache in Grundform; Eigenschutzregeln.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SV-Schnittstelle</w:t>
            </w:r>
          </w:p>
        </w:tc>
        <w:tc>
          <w:tcPr>
            <w:tcW w:type="dxa" w:w="8352"/>
            <w:vAlign w:val="top"/>
          </w:tcPr>
          <w:p>
            <w:r>
              <w:t>Kein körperlicher Interventionszwang; Abstand, Rückzug und professionelle Hilfe.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Belastung/Sicherheit</w:t>
            </w:r>
          </w:p>
        </w:tc>
        <w:tc>
          <w:tcPr>
            <w:tcW w:type="dxa" w:w="8352"/>
            <w:vAlign w:val="top"/>
          </w:tcPr>
          <w:p>
            <w:r>
              <w:t>Keine Heldenlogik; direkte, indirekte und delegierte Intervention gleichwertig.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Offene Entscheidung</w:t>
            </w:r>
          </w:p>
        </w:tc>
        <w:tc>
          <w:tcPr>
            <w:tcW w:type="dxa" w:w="8352"/>
            <w:vAlign w:val="top"/>
          </w:tcPr>
          <w:p>
            <w:r>
              <w:t>GAP 3 bestätigt: vollständige Hilfekette fehlt.</w:t>
            </w:r>
          </w:p>
        </w:tc>
      </w:tr>
    </w:tbl>
    <w:p/>
    <w:p>
      <w:pPr>
        <w:pStyle w:val="Heading2"/>
      </w:pPr>
      <w:r>
        <w:t>E5 – Körperlicher Übergang und Raumgewinn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rPr>
          <w:tblHeader w:val="true"/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Funktion im Kursverlauf</w:t>
            </w:r>
          </w:p>
        </w:tc>
        <w:tc>
          <w:tcPr>
            <w:tcW w:type="dxa" w:w="8352"/>
            <w:vAlign w:val="top"/>
          </w:tcPr>
          <w:p>
            <w:r>
              <w:t>Beginn des systematischen SV-Fensters; Sprache, Raum und körperlicher Schutz werden verbunden.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Tragende Kompetenzziele</w:t>
            </w:r>
          </w:p>
        </w:tc>
        <w:tc>
          <w:tcPr>
            <w:tcW w:type="dxa" w:w="8352"/>
            <w:vAlign w:val="top"/>
          </w:tcPr>
          <w:p>
            <w:r>
              <w:t>GV4/F-GV4; SB1; SB3/SB5; GV5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Übungen und Rolle</w:t>
            </w:r>
          </w:p>
        </w:tc>
        <w:tc>
          <w:tcPr>
            <w:tcW w:type="dxa" w:w="8352"/>
            <w:vAlign w:val="top"/>
          </w:tcPr>
          <w:p>
            <w:r>
              <w:t>U07 Bedrängnis – Anwendung; U18 STOP! – integriert; SV-Zeitfenster; GAP 2 Stress-/Strategiewechselmodul.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Reifegradbeitrag</w:t>
            </w:r>
          </w:p>
        </w:tc>
        <w:tc>
          <w:tcPr>
            <w:tcW w:type="dxa" w:w="8352"/>
            <w:vAlign w:val="top"/>
          </w:tcPr>
          <w:p>
            <w:r>
              <w:t>GV4 R2–R3; SB1/SB3/SB5 R3; GV5 R2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Voraussetzungen</w:t>
            </w:r>
          </w:p>
        </w:tc>
        <w:tc>
          <w:tcPr>
            <w:tcW w:type="dxa" w:w="8352"/>
            <w:vAlign w:val="top"/>
          </w:tcPr>
          <w:p>
            <w:r>
              <w:t>Stand und STOP R2; Zielwahl und Ausstieg mindestens R2; Kontakt- und Belastungsregeln.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SV-Schnittstelle</w:t>
            </w:r>
          </w:p>
        </w:tc>
        <w:tc>
          <w:tcPr>
            <w:tcW w:type="dxa" w:w="8352"/>
            <w:vAlign w:val="top"/>
          </w:tcPr>
          <w:p>
            <w:r>
              <w:t>Schützen → Raum gewinnen → Distanz → Ausstieg; konkrete Technik noch offen.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Belastung/Sicherheit</w:t>
            </w:r>
          </w:p>
        </w:tc>
        <w:tc>
          <w:tcPr>
            <w:tcW w:type="dxa" w:w="8352"/>
            <w:vAlign w:val="top"/>
          </w:tcPr>
          <w:p>
            <w:r>
              <w:t>Kooperativ beginnen; kurze Durchgänge; keine überraschenden Griffe.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Offene Entscheidung</w:t>
            </w:r>
          </w:p>
        </w:tc>
        <w:tc>
          <w:tcPr>
            <w:tcW w:type="dxa" w:w="8352"/>
            <w:vAlign w:val="top"/>
          </w:tcPr>
          <w:p>
            <w:r>
              <w:t>GAP 2 bestätigt; als wiederverwendbares Modul ausarbeiten.</w:t>
            </w:r>
          </w:p>
        </w:tc>
      </w:tr>
    </w:tbl>
    <w:p/>
    <w:p>
      <w:pPr>
        <w:pStyle w:val="Heading2"/>
      </w:pPr>
      <w:r>
        <w:t>E6 – Körperliche Selbstverteidigung und vollständige Ausstiegskette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rPr>
          <w:tblHeader w:val="true"/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Funktion im Kursverlauf</w:t>
            </w:r>
          </w:p>
        </w:tc>
        <w:tc>
          <w:tcPr>
            <w:tcW w:type="dxa" w:w="8352"/>
            <w:vAlign w:val="top"/>
          </w:tcPr>
          <w:p>
            <w:r>
              <w:t>Vertiefung des körperlichen Lernfensters und Verbindung mit Wirkungskontrolle, Ausstieg und Hilfe.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Tragende Kompetenzziele</w:t>
            </w:r>
          </w:p>
        </w:tc>
        <w:tc>
          <w:tcPr>
            <w:tcW w:type="dxa" w:w="8352"/>
            <w:vAlign w:val="top"/>
          </w:tcPr>
          <w:p>
            <w:r>
              <w:t>GV3; GV4; GV5; SB6/F-SB7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Übungen und Rolle</w:t>
            </w:r>
          </w:p>
        </w:tc>
        <w:tc>
          <w:tcPr>
            <w:tcW w:type="dxa" w:w="8352"/>
            <w:vAlign w:val="top"/>
          </w:tcPr>
          <w:p>
            <w:r>
              <w:t>SV-Zeitfenster; GAP 2 Strategiewechsel; GAP 3 Hilfekette; kurze Transferfälle.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Reifegradbeitrag</w:t>
            </w:r>
          </w:p>
        </w:tc>
        <w:tc>
          <w:tcPr>
            <w:tcW w:type="dxa" w:w="8352"/>
            <w:vAlign w:val="top"/>
          </w:tcPr>
          <w:p>
            <w:r>
              <w:t>GV3/GV4 R3; GV5 R2–R3; Hilfeaktivierung R3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Voraussetzungen</w:t>
            </w:r>
          </w:p>
        </w:tc>
        <w:tc>
          <w:tcPr>
            <w:tcW w:type="dxa" w:w="8352"/>
            <w:vAlign w:val="top"/>
          </w:tcPr>
          <w:p>
            <w:r>
              <w:t>Körperliche Grundform aus E5; Ausstiegs- und Hilfekette; Widerstandsdosierung.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SV-Schnittstelle</w:t>
            </w:r>
          </w:p>
        </w:tc>
        <w:tc>
          <w:tcPr>
            <w:tcW w:type="dxa" w:w="8352"/>
            <w:vAlign w:val="top"/>
          </w:tcPr>
          <w:p>
            <w:r>
              <w:t>Hauptfenster für körperliche Entwicklung; Technikfamilien erst nach SV-Audit.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Belastung/Sicherheit</w:t>
            </w:r>
          </w:p>
        </w:tc>
        <w:tc>
          <w:tcPr>
            <w:tcW w:type="dxa" w:w="8352"/>
            <w:vAlign w:val="top"/>
          </w:tcPr>
          <w:p>
            <w:r>
              <w:t>Keine Wettkampflogik; Nichtwirkung als Anlass zum Wechsel.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Offene Entscheidung</w:t>
            </w:r>
          </w:p>
        </w:tc>
        <w:tc>
          <w:tcPr>
            <w:tcW w:type="dxa" w:w="8352"/>
            <w:vAlign w:val="top"/>
          </w:tcPr>
          <w:p>
            <w:r>
              <w:t>Konkrete SV-Übungsfamilien offen.</w:t>
            </w:r>
          </w:p>
        </w:tc>
      </w:tr>
    </w:tbl>
    <w:p/>
    <w:p>
      <w:pPr>
        <w:pStyle w:val="Heading2"/>
      </w:pPr>
      <w:r>
        <w:t>E7 – Häusliche Gewalt: Kontrolle, Sicherheit und Zielwechsel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rPr>
          <w:tblHeader w:val="true"/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Funktion im Kursverlauf</w:t>
            </w:r>
          </w:p>
        </w:tc>
        <w:tc>
          <w:tcPr>
            <w:tcW w:type="dxa" w:w="8352"/>
            <w:vAlign w:val="top"/>
          </w:tcPr>
          <w:p>
            <w:r>
              <w:t>Streit von Kontrolle und Gewaltmustern unterscheiden; Deeskalation nicht als Pflicht vermitteln.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Tragende Kompetenzziele</w:t>
            </w:r>
          </w:p>
        </w:tc>
        <w:tc>
          <w:tcPr>
            <w:tcW w:type="dxa" w:w="8352"/>
            <w:vAlign w:val="top"/>
          </w:tcPr>
          <w:p>
            <w:r>
              <w:t>F-GV7; GV3; SB4/F-SB4; SB5/F-SB6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Übungen und Rolle</w:t>
            </w:r>
          </w:p>
        </w:tc>
        <w:tc>
          <w:tcPr>
            <w:tcW w:type="dxa" w:w="8352"/>
            <w:vAlign w:val="top"/>
          </w:tcPr>
          <w:p>
            <w:r>
              <w:t>U04 Streit Privat 1 – bevorzugter Anker; U05 Vertiefung oder Alternative; U06 optional; GAP 4 Transferblatt ergänzen.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Reifegradbeitrag</w:t>
            </w:r>
          </w:p>
        </w:tc>
        <w:tc>
          <w:tcPr>
            <w:tcW w:type="dxa" w:w="8352"/>
            <w:vAlign w:val="top"/>
          </w:tcPr>
          <w:p>
            <w:r>
              <w:t>F-GV7 R2; GV3/SB5 R3–R4; SB4 R3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Voraussetzungen</w:t>
            </w:r>
          </w:p>
        </w:tc>
        <w:tc>
          <w:tcPr>
            <w:tcW w:type="dxa" w:w="8352"/>
            <w:vAlign w:val="top"/>
          </w:tcPr>
          <w:p>
            <w:r>
              <w:t>Begrenzen und Beenden mindestens R2; Hilfeaktivierung R2; Kontext-Rahmung.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SV-Schnittstelle</w:t>
            </w:r>
          </w:p>
        </w:tc>
        <w:tc>
          <w:tcPr>
            <w:tcW w:type="dxa" w:w="8352"/>
            <w:vAlign w:val="top"/>
          </w:tcPr>
          <w:p>
            <w:r>
              <w:t>Bekannte Schutzprinzipien als Option; kein körperlicher Erfolgszwang.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Belastung/Sicherheit</w:t>
            </w:r>
          </w:p>
        </w:tc>
        <w:tc>
          <w:tcPr>
            <w:tcW w:type="dxa" w:w="8352"/>
            <w:vAlign w:val="top"/>
          </w:tcPr>
          <w:p>
            <w:r>
              <w:t>Keine Paarberatung, keine Täterberuhigung als Erfolgsmaßstab, kein Victim Blaming.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Offene Entscheidung</w:t>
            </w:r>
          </w:p>
        </w:tc>
        <w:tc>
          <w:tcPr>
            <w:tcW w:type="dxa" w:w="8352"/>
            <w:vAlign w:val="top"/>
          </w:tcPr>
          <w:p>
            <w:r>
              <w:t>U04 bevorzugt; U05 optional vertiefend.</w:t>
            </w:r>
          </w:p>
        </w:tc>
      </w:tr>
    </w:tbl>
    <w:p/>
    <w:p>
      <w:pPr>
        <w:pStyle w:val="Heading2"/>
      </w:pPr>
      <w:r>
        <w:t>E8 – Intensive körperliche und sexualisierte Zwangslagen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rPr>
          <w:tblHeader w:val="true"/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Funktion im Kursverlauf</w:t>
            </w:r>
          </w:p>
        </w:tc>
        <w:tc>
          <w:tcPr>
            <w:tcW w:type="dxa" w:w="8352"/>
            <w:vAlign w:val="top"/>
          </w:tcPr>
          <w:p>
            <w:r>
              <w:t>Bekannte Schutz- und Ausstiegsprinzipien in streng kontrollierten Teilaufgaben verbinden.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Tragende Kompetenzziele</w:t>
            </w:r>
          </w:p>
        </w:tc>
        <w:tc>
          <w:tcPr>
            <w:tcW w:type="dxa" w:w="8352"/>
            <w:vAlign w:val="top"/>
          </w:tcPr>
          <w:p>
            <w:r>
              <w:t>GV3; GV5; SB5; Hilfe/Nachsorge als Anschluss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Übungen und Rolle</w:t>
            </w:r>
          </w:p>
        </w:tc>
        <w:tc>
          <w:tcPr>
            <w:tcW w:type="dxa" w:w="8352"/>
            <w:vAlign w:val="top"/>
          </w:tcPr>
          <w:p>
            <w:r>
              <w:t>SV-Zeitfenster Wand/Enge/Boden nach Audit; GAP 2; kurze Hilfe-/Nachsorgeverknüpfung; keine GV-/SB-Rollenspielpflicht.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Reifegradbeitrag</w:t>
            </w:r>
          </w:p>
        </w:tc>
        <w:tc>
          <w:tcPr>
            <w:tcW w:type="dxa" w:w="8352"/>
            <w:vAlign w:val="top"/>
          </w:tcPr>
          <w:p>
            <w:r>
              <w:t>GV3/GV5 R3; bekannte SB-Kompetenzen angewandt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Voraussetzungen</w:t>
            </w:r>
          </w:p>
        </w:tc>
        <w:tc>
          <w:tcPr>
            <w:tcW w:type="dxa" w:w="8352"/>
            <w:vAlign w:val="top"/>
          </w:tcPr>
          <w:p>
            <w:r>
              <w:t>Ausreichende körperliche Grundlagen; strenger Sicherheitsrahmen; keine neue Grundtechnik.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SV-Schnittstelle</w:t>
            </w:r>
          </w:p>
        </w:tc>
        <w:tc>
          <w:tcPr>
            <w:tcW w:type="dxa" w:w="8352"/>
            <w:vAlign w:val="top"/>
          </w:tcPr>
          <w:p>
            <w:r>
              <w:t>Hauptsächlich SV; konkrete Positionen und Folgen offen.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Belastung/Sicherheit</w:t>
            </w:r>
          </w:p>
        </w:tc>
        <w:tc>
          <w:tcPr>
            <w:tcW w:type="dxa" w:w="8352"/>
            <w:vAlign w:val="top"/>
          </w:tcPr>
          <w:p>
            <w:r>
              <w:t>Keine Entkleidung, intime Berührung oder Tatinszenierung; kurze Teilaufgaben mit Stabilisierung.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Offene Entscheidung</w:t>
            </w:r>
          </w:p>
        </w:tc>
        <w:tc>
          <w:tcPr>
            <w:tcW w:type="dxa" w:w="8352"/>
            <w:vAlign w:val="top"/>
          </w:tcPr>
          <w:p>
            <w:r>
              <w:t>Tragfähigkeit hängt wesentlich vom SV-Audit ab.</w:t>
            </w:r>
          </w:p>
        </w:tc>
      </w:tr>
    </w:tbl>
    <w:p/>
    <w:p>
      <w:pPr>
        <w:pStyle w:val="Heading2"/>
      </w:pPr>
      <w:r>
        <w:t>E9 – Drittintervention bei hoher Gefährdung, Notruf und Nachsorge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rPr>
          <w:tblHeader w:val="true"/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Funktion im Kursverlauf</w:t>
            </w:r>
          </w:p>
        </w:tc>
        <w:tc>
          <w:tcPr>
            <w:tcW w:type="dxa" w:w="8352"/>
            <w:vAlign w:val="top"/>
          </w:tcPr>
          <w:p>
            <w:r>
              <w:t>Drittintervention und Hilfekette unter höherem Risiko anwenden und an Nachsorge anschließen.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Tragende Kompetenzziele</w:t>
            </w:r>
          </w:p>
        </w:tc>
        <w:tc>
          <w:tcPr>
            <w:tcW w:type="dxa" w:w="8352"/>
            <w:vAlign w:val="top"/>
          </w:tcPr>
          <w:p>
            <w:r>
              <w:t>F-SB8; F-SB9; F-Q1; F-Q2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Übungen und Rolle</w:t>
            </w:r>
          </w:p>
        </w:tc>
        <w:tc>
          <w:tcPr>
            <w:tcW w:type="dxa" w:w="8352"/>
            <w:vAlign w:val="top"/>
          </w:tcPr>
          <w:p>
            <w:r>
              <w:t>U09 Straße – Anwendung; U08 Gewalt am Boden – optionale Vertiefung; U17 Vergleich; GAP 3 unter veränderten Bedingungen; Fallkarten GAP 5.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Reifegradbeitrag</w:t>
            </w:r>
          </w:p>
        </w:tc>
        <w:tc>
          <w:tcPr>
            <w:tcW w:type="dxa" w:w="8352"/>
            <w:vAlign w:val="top"/>
          </w:tcPr>
          <w:p>
            <w:r>
              <w:t>F-SB8 R3; F-SB9 R2–R3; F-Q1 R2; F-Q2 R1–R2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Voraussetzungen</w:t>
            </w:r>
          </w:p>
        </w:tc>
        <w:tc>
          <w:tcPr>
            <w:tcW w:type="dxa" w:w="8352"/>
            <w:vAlign w:val="top"/>
          </w:tcPr>
          <w:p>
            <w:r>
              <w:t>Hilfeaktivierung und Eigenschutz R2; Lageeinschätzung; Rollenverteilung.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SV-Schnittstelle</w:t>
            </w:r>
          </w:p>
        </w:tc>
        <w:tc>
          <w:tcPr>
            <w:tcW w:type="dxa" w:w="8352"/>
            <w:vAlign w:val="top"/>
          </w:tcPr>
          <w:p>
            <w:r>
              <w:t>Keine Pflicht zur körperlichen Intervention.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Belastung/Sicherheit</w:t>
            </w:r>
          </w:p>
        </w:tc>
        <w:tc>
          <w:tcPr>
            <w:tcW w:type="dxa" w:w="8352"/>
            <w:vAlign w:val="top"/>
          </w:tcPr>
          <w:p>
            <w:r>
              <w:t>U08 nur bei stabiler Gruppe, Vorankündigung und reduzierter Intensität.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Offene Entscheidung</w:t>
            </w:r>
          </w:p>
        </w:tc>
        <w:tc>
          <w:tcPr>
            <w:tcW w:type="dxa" w:w="8352"/>
            <w:vAlign w:val="top"/>
          </w:tcPr>
          <w:p>
            <w:r>
              <w:t>GAP 5 kein eigener großer Übungs-Gap; Fallkarten/Material ausreichend.</w:t>
            </w:r>
          </w:p>
        </w:tc>
      </w:tr>
    </w:tbl>
    <w:p/>
    <w:p>
      <w:pPr>
        <w:pStyle w:val="Heading2"/>
      </w:pPr>
      <w:r>
        <w:t>E10 – Integrierte Anwendung und persönlicher Transfer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rPr>
          <w:tblHeader w:val="true"/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Funktion im Kursverlauf</w:t>
            </w:r>
          </w:p>
        </w:tc>
        <w:tc>
          <w:tcPr>
            <w:tcW w:type="dxa" w:w="8352"/>
            <w:vAlign w:val="top"/>
          </w:tcPr>
          <w:p>
            <w:r>
              <w:t>Bekannte Kompetenzen selbst auswählen, verbinden und auf persönliche Kontexte übertragen.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Tragende Kompetenzziele</w:t>
            </w:r>
          </w:p>
        </w:tc>
        <w:tc>
          <w:tcPr>
            <w:tcW w:type="dxa" w:w="8352"/>
            <w:vAlign w:val="top"/>
          </w:tcPr>
          <w:p>
            <w:r>
              <w:t>GV3; GV4; SB2–SB7; F-Q4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Übungen und Rolle</w:t>
            </w:r>
          </w:p>
        </w:tc>
        <w:tc>
          <w:tcPr>
            <w:tcW w:type="dxa" w:w="8352"/>
            <w:vAlign w:val="top"/>
          </w:tcPr>
          <w:p>
            <w:r>
              <w:t>U03 Wohnungssuche oder U01 unterwegs – Transfer; Variante aus U07 oder F5; U17/U09 optional; GAP 4 Transferplan; GAP 2 kurz integriert.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Reifegradbeitrag</w:t>
            </w:r>
          </w:p>
        </w:tc>
        <w:tc>
          <w:tcPr>
            <w:tcW w:type="dxa" w:w="8352"/>
            <w:vAlign w:val="top"/>
          </w:tcPr>
          <w:p>
            <w:r>
              <w:t>Kernkompetenzen R3/R4 je Ziel; F-Q4 R3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Voraussetzungen</w:t>
            </w:r>
          </w:p>
        </w:tc>
        <w:tc>
          <w:tcPr>
            <w:tcW w:type="dxa" w:w="8352"/>
            <w:vAlign w:val="top"/>
          </w:tcPr>
          <w:p>
            <w:r>
              <w:t>Mehrere Kernkompetenzen in Grundform; stabiler Sicherheits- und Feedbackrahmen.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SV-Schnittstelle</w:t>
            </w:r>
          </w:p>
        </w:tc>
        <w:tc>
          <w:tcPr>
            <w:tcW w:type="dxa" w:w="8352"/>
            <w:vAlign w:val="top"/>
          </w:tcPr>
          <w:p>
            <w:r>
              <w:t>Nur bekannte und auditierte körperliche Prinzipien in sicherer Teilform.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Belastung/Sicherheit</w:t>
            </w:r>
          </w:p>
        </w:tc>
        <w:tc>
          <w:tcPr>
            <w:tcW w:type="dxa" w:w="8352"/>
            <w:vAlign w:val="top"/>
          </w:tcPr>
          <w:p>
            <w:r>
              <w:t>Keine Überraschungsszenarien; Wahl von Kontext, Rolle oder Beobachterposition.</w:t>
            </w:r>
          </w:p>
        </w:tc>
      </w:tr>
      <w:tr>
        <w:trPr>
          <w:cantSplit/>
        </w:trPr>
        <w:tc>
          <w:tcPr>
            <w:tcW w:type="dxa" w:w="2448"/>
            <w:vAlign w:val="top"/>
          </w:tcPr>
          <w:p>
            <w:r>
              <w:rPr>
                <w:b/>
              </w:rPr>
              <w:t>Offene Entscheidung</w:t>
            </w:r>
          </w:p>
        </w:tc>
        <w:tc>
          <w:tcPr>
            <w:tcW w:type="dxa" w:w="8352"/>
            <w:vAlign w:val="top"/>
          </w:tcPr>
          <w:p>
            <w:r>
              <w:t>GAP 4 bestätigt: kursbegleitender persönlicher Transferplan.</w:t>
            </w:r>
          </w:p>
        </w:tc>
      </w:tr>
    </w:tbl>
    <w:p/>
    <w:p>
      <w:pPr>
        <w:pStyle w:val="Heading1"/>
      </w:pPr>
      <w:r>
        <w:t>3. Bestätigte Gap-Kandidaten nach B3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74"/>
        <w:gridCol w:w="2074"/>
        <w:gridCol w:w="2074"/>
        <w:gridCol w:w="2074"/>
        <w:gridCol w:w="2074"/>
      </w:tblGrid>
      <w:tr>
        <w:trPr>
          <w:tblHeader w:val="true"/>
          <w:cantSplit/>
        </w:trPr>
        <w:tc>
          <w:tcPr>
            <w:tcW w:type="dxa" w:w="2074"/>
          </w:tcPr>
          <w:p>
            <w:r>
              <w:rPr>
                <w:b/>
              </w:rPr>
              <w:t>ID</w:t>
            </w:r>
          </w:p>
        </w:tc>
        <w:tc>
          <w:tcPr>
            <w:tcW w:type="dxa" w:w="2074"/>
          </w:tcPr>
          <w:p>
            <w:r>
              <w:rPr>
                <w:b/>
              </w:rPr>
              <w:t>Lernfunktion</w:t>
            </w:r>
          </w:p>
        </w:tc>
        <w:tc>
          <w:tcPr>
            <w:tcW w:type="dxa" w:w="2074"/>
          </w:tcPr>
          <w:p>
            <w:r>
              <w:rPr>
                <w:b/>
              </w:rPr>
              <w:t>Kursfenster</w:t>
            </w:r>
          </w:p>
        </w:tc>
        <w:tc>
          <w:tcPr>
            <w:tcW w:type="dxa" w:w="2074"/>
          </w:tcPr>
          <w:p>
            <w:r>
              <w:rPr>
                <w:b/>
              </w:rPr>
              <w:t>Entwicklungsbedarf</w:t>
            </w:r>
          </w:p>
        </w:tc>
        <w:tc>
          <w:tcPr>
            <w:tcW w:type="dxa" w:w="2074"/>
          </w:tcPr>
          <w:p>
            <w:r>
              <w:rPr>
                <w:b/>
              </w:rPr>
              <w:t>Status</w:t>
            </w:r>
          </w:p>
        </w:tc>
      </w:tr>
      <w:tr>
        <w:trPr>
          <w:cantSplit/>
        </w:trPr>
        <w:tc>
          <w:tcPr>
            <w:tcW w:type="dxa" w:w="2074"/>
          </w:tcPr>
          <w:p>
            <w:r>
              <w:t>GAP 1</w:t>
            </w:r>
          </w:p>
        </w:tc>
        <w:tc>
          <w:tcPr>
            <w:tcW w:type="dxa" w:w="2074"/>
          </w:tcPr>
          <w:p>
            <w:r>
              <w:t>Gespräch beeinflussen, begrenzen und beenden</w:t>
            </w:r>
          </w:p>
        </w:tc>
        <w:tc>
          <w:tcPr>
            <w:tcW w:type="dxa" w:w="2074"/>
          </w:tcPr>
          <w:p>
            <w:r>
              <w:t>E2; Anwendung E3/E7</w:t>
            </w:r>
          </w:p>
        </w:tc>
        <w:tc>
          <w:tcPr>
            <w:tcW w:type="dxa" w:w="2074"/>
          </w:tcPr>
          <w:p>
            <w:r>
              <w:t>Neue neutrale, wiederholbare Partnerübung erforderlich.</w:t>
            </w:r>
          </w:p>
        </w:tc>
        <w:tc>
          <w:tcPr>
            <w:tcW w:type="dxa" w:w="2074"/>
          </w:tcPr>
          <w:p>
            <w:r>
              <w:t>bestätigt / zwingend</w:t>
            </w:r>
          </w:p>
        </w:tc>
      </w:tr>
      <w:tr>
        <w:trPr>
          <w:cantSplit/>
        </w:trPr>
        <w:tc>
          <w:tcPr>
            <w:tcW w:type="dxa" w:w="2074"/>
          </w:tcPr>
          <w:p>
            <w:r>
              <w:t>GAP 2</w:t>
            </w:r>
          </w:p>
        </w:tc>
        <w:tc>
          <w:tcPr>
            <w:tcW w:type="dxa" w:w="2074"/>
          </w:tcPr>
          <w:p>
            <w:r>
              <w:t>Unter Stress vereinfachen und Strategie wechseln</w:t>
            </w:r>
          </w:p>
        </w:tc>
        <w:tc>
          <w:tcPr>
            <w:tcW w:type="dxa" w:w="2074"/>
          </w:tcPr>
          <w:p>
            <w:r>
              <w:t>E5; Wiederaufnahme E6/E8/E10</w:t>
            </w:r>
          </w:p>
        </w:tc>
        <w:tc>
          <w:tcPr>
            <w:tcW w:type="dxa" w:w="2074"/>
          </w:tcPr>
          <w:p>
            <w:r>
              <w:t>Wiederverwendbares, niedrig dosiertes Stress-/Strategiewechselmodul.</w:t>
            </w:r>
          </w:p>
        </w:tc>
        <w:tc>
          <w:tcPr>
            <w:tcW w:type="dxa" w:w="2074"/>
          </w:tcPr>
          <w:p>
            <w:r>
              <w:t>bestätigt / zwingend</w:t>
            </w:r>
          </w:p>
        </w:tc>
      </w:tr>
      <w:tr>
        <w:trPr>
          <w:cantSplit/>
        </w:trPr>
        <w:tc>
          <w:tcPr>
            <w:tcW w:type="dxa" w:w="2074"/>
          </w:tcPr>
          <w:p>
            <w:r>
              <w:t>GAP 3</w:t>
            </w:r>
          </w:p>
        </w:tc>
        <w:tc>
          <w:tcPr>
            <w:tcW w:type="dxa" w:w="2074"/>
          </w:tcPr>
          <w:p>
            <w:r>
              <w:t>Hilfe, Delegation, Notruf und Übergabe</w:t>
            </w:r>
          </w:p>
        </w:tc>
        <w:tc>
          <w:tcPr>
            <w:tcW w:type="dxa" w:w="2074"/>
          </w:tcPr>
          <w:p>
            <w:r>
              <w:t>E4; Anwendung E9/E10</w:t>
            </w:r>
          </w:p>
        </w:tc>
        <w:tc>
          <w:tcPr>
            <w:tcW w:type="dxa" w:w="2074"/>
          </w:tcPr>
          <w:p>
            <w:r>
              <w:t>Kurze systematische Grundübung mit vollständiger Hilfekette.</w:t>
            </w:r>
          </w:p>
        </w:tc>
        <w:tc>
          <w:tcPr>
            <w:tcW w:type="dxa" w:w="2074"/>
          </w:tcPr>
          <w:p>
            <w:r>
              <w:t>bestätigt / zwingend</w:t>
            </w:r>
          </w:p>
        </w:tc>
      </w:tr>
      <w:tr>
        <w:trPr>
          <w:cantSplit/>
        </w:trPr>
        <w:tc>
          <w:tcPr>
            <w:tcW w:type="dxa" w:w="2074"/>
          </w:tcPr>
          <w:p>
            <w:r>
              <w:t>GAP 4</w:t>
            </w:r>
          </w:p>
        </w:tc>
        <w:tc>
          <w:tcPr>
            <w:tcW w:type="dxa" w:w="2074"/>
          </w:tcPr>
          <w:p>
            <w:r>
              <w:t>Persönlicher Sicherheits- und Übungsplan</w:t>
            </w:r>
          </w:p>
        </w:tc>
        <w:tc>
          <w:tcPr>
            <w:tcW w:type="dxa" w:w="2074"/>
          </w:tcPr>
          <w:p>
            <w:r>
              <w:t>Beginn E3/E4; Ergänzung E7/E9; Abschluss E10</w:t>
            </w:r>
          </w:p>
        </w:tc>
        <w:tc>
          <w:tcPr>
            <w:tcW w:type="dxa" w:w="2074"/>
          </w:tcPr>
          <w:p>
            <w:r>
              <w:t>Kursbegleitendes Transferformat statt einmaliger Abschlussreflexion.</w:t>
            </w:r>
          </w:p>
        </w:tc>
        <w:tc>
          <w:tcPr>
            <w:tcW w:type="dxa" w:w="2074"/>
          </w:tcPr>
          <w:p>
            <w:r>
              <w:t>bestätigt / zwingend</w:t>
            </w:r>
          </w:p>
        </w:tc>
      </w:tr>
      <w:tr>
        <w:trPr>
          <w:cantSplit/>
        </w:trPr>
        <w:tc>
          <w:tcPr>
            <w:tcW w:type="dxa" w:w="2074"/>
          </w:tcPr>
          <w:p>
            <w:r>
              <w:t>GAP 5</w:t>
            </w:r>
          </w:p>
        </w:tc>
        <w:tc>
          <w:tcPr>
            <w:tcW w:type="dxa" w:w="2074"/>
          </w:tcPr>
          <w:p>
            <w:r>
              <w:t>Nachsorge, Dokumentation und Hilfswege</w:t>
            </w:r>
          </w:p>
        </w:tc>
        <w:tc>
          <w:tcPr>
            <w:tcW w:type="dxa" w:w="2074"/>
          </w:tcPr>
          <w:p>
            <w:r>
              <w:t>vor allem E3/E7/E9</w:t>
            </w:r>
          </w:p>
        </w:tc>
        <w:tc>
          <w:tcPr>
            <w:tcW w:type="dxa" w:w="2074"/>
          </w:tcPr>
          <w:p>
            <w:r>
              <w:t>Kein eigener großer Übungs-Gap; integrierte Fallkarten und Materialien voraussichtlich ausreichend.</w:t>
            </w:r>
          </w:p>
        </w:tc>
        <w:tc>
          <w:tcPr>
            <w:tcW w:type="dxa" w:w="2074"/>
          </w:tcPr>
          <w:p>
            <w:r>
              <w:t>Material-/Anwendungs-Gap</w:t>
            </w:r>
          </w:p>
        </w:tc>
      </w:tr>
      <w:tr>
        <w:trPr>
          <w:cantSplit/>
        </w:trPr>
        <w:tc>
          <w:tcPr>
            <w:tcW w:type="dxa" w:w="2074"/>
          </w:tcPr>
          <w:p>
            <w:r>
              <w:t>SV-Gaps</w:t>
            </w:r>
          </w:p>
        </w:tc>
        <w:tc>
          <w:tcPr>
            <w:tcW w:type="dxa" w:w="2074"/>
          </w:tcPr>
          <w:p>
            <w:r>
              <w:t>Physische Selbstverteidigung</w:t>
            </w:r>
          </w:p>
        </w:tc>
        <w:tc>
          <w:tcPr>
            <w:tcW w:type="dxa" w:w="2074"/>
          </w:tcPr>
          <w:p>
            <w:r>
              <w:t>E5–E8/E10</w:t>
            </w:r>
          </w:p>
        </w:tc>
        <w:tc>
          <w:tcPr>
            <w:tcW w:type="dxa" w:w="2074"/>
          </w:tcPr>
          <w:p>
            <w:r>
              <w:t>Nicht bewertbar vor separatem SV-Audit.</w:t>
            </w:r>
          </w:p>
        </w:tc>
        <w:tc>
          <w:tcPr>
            <w:tcW w:type="dxa" w:w="2074"/>
          </w:tcPr>
          <w:p>
            <w:r>
              <w:t>offen</w:t>
            </w:r>
          </w:p>
        </w:tc>
      </w:tr>
    </w:tbl>
    <w:p>
      <w:pPr>
        <w:pStyle w:val="Heading1"/>
      </w:pPr>
      <w:r>
        <w:t>4. Vorläufige Auswahl der auditierten Übungen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84"/>
        <w:gridCol w:w="5184"/>
      </w:tblGrid>
      <w:tr>
        <w:trPr>
          <w:tblHeader w:val="true"/>
          <w:cantSplit/>
        </w:trPr>
        <w:tc>
          <w:tcPr>
            <w:tcW w:type="dxa" w:w="2448"/>
          </w:tcPr>
          <w:p>
            <w:r>
              <w:rPr>
                <w:b/>
              </w:rPr>
              <w:t>Verbindlicher Kern</w:t>
            </w:r>
          </w:p>
        </w:tc>
        <w:tc>
          <w:tcPr>
            <w:tcW w:type="dxa" w:w="8352"/>
          </w:tcPr>
          <w:p>
            <w:r>
              <w:t>U02, U07, U09, U11, U13, U16, U17, U18</w:t>
            </w:r>
          </w:p>
        </w:tc>
      </w:tr>
      <w:tr>
        <w:trPr>
          <w:cantSplit/>
        </w:trPr>
        <w:tc>
          <w:tcPr>
            <w:tcW w:type="dxa" w:w="2448"/>
          </w:tcPr>
          <w:p>
            <w:r>
              <w:rPr>
                <w:b/>
              </w:rPr>
              <w:t>Verbindliche Familienauswahl</w:t>
            </w:r>
          </w:p>
        </w:tc>
        <w:tc>
          <w:tcPr>
            <w:tcW w:type="dxa" w:w="8352"/>
          </w:tcPr>
          <w:p>
            <w:r>
              <w:t>mindestens eine aus U01/U03; mindestens eine aus U04/U05</w:t>
            </w:r>
          </w:p>
        </w:tc>
      </w:tr>
      <w:tr>
        <w:trPr>
          <w:cantSplit/>
        </w:trPr>
        <w:tc>
          <w:tcPr>
            <w:tcW w:type="dxa" w:w="2448"/>
          </w:tcPr>
          <w:p>
            <w:r>
              <w:rPr>
                <w:b/>
              </w:rPr>
              <w:t>Pilot im Kern vorgesehen</w:t>
            </w:r>
          </w:p>
        </w:tc>
        <w:tc>
          <w:tcPr>
            <w:tcW w:type="dxa" w:w="8352"/>
          </w:tcPr>
          <w:p>
            <w:r>
              <w:t>U14</w:t>
            </w:r>
          </w:p>
        </w:tc>
      </w:tr>
      <w:tr>
        <w:trPr>
          <w:cantSplit/>
        </w:trPr>
        <w:tc>
          <w:tcPr>
            <w:tcW w:type="dxa" w:w="2448"/>
          </w:tcPr>
          <w:p>
            <w:r>
              <w:rPr>
                <w:b/>
              </w:rPr>
              <w:t>Optional</w:t>
            </w:r>
          </w:p>
        </w:tc>
        <w:tc>
          <w:tcPr>
            <w:tcW w:type="dxa" w:w="8352"/>
          </w:tcPr>
          <w:p>
            <w:r>
              <w:t>U06, U08, U15 sowie die jeweils nicht ausgewählte F4-/F5-Übung</w:t>
            </w:r>
          </w:p>
        </w:tc>
      </w:tr>
      <w:tr>
        <w:trPr>
          <w:cantSplit/>
        </w:trPr>
        <w:tc>
          <w:tcPr>
            <w:tcW w:type="dxa" w:w="2448"/>
          </w:tcPr>
          <w:p>
            <w:r>
              <w:rPr>
                <w:b/>
              </w:rPr>
              <w:t>Kein regulärer Kernblock</w:t>
            </w:r>
          </w:p>
        </w:tc>
        <w:tc>
          <w:tcPr>
            <w:tcW w:type="dxa" w:w="8352"/>
          </w:tcPr>
          <w:p>
            <w:r>
              <w:t>U10, U12</w:t>
            </w:r>
          </w:p>
        </w:tc>
      </w:tr>
    </w:tbl>
    <w:p>
      <w:pPr>
        <w:pStyle w:val="Heading1"/>
      </w:pPr>
      <w:r>
        <w:t>5. Belastungsrhythmus und Prüfhinweise für B4</w:t>
      </w:r>
    </w:p>
    <w:p>
      <w:pPr>
        <w:pStyle w:val="ListBullet"/>
      </w:pPr>
      <w:r>
        <w:t>E1 niedrig; E2 niedrig bis moderat; E3 moderat mit sexualisiertem Kontext; E4 moderat mit Drittintervention.</w:t>
      </w:r>
    </w:p>
    <w:p>
      <w:pPr>
        <w:pStyle w:val="ListBullet"/>
      </w:pPr>
      <w:r>
        <w:t>E5 moderat körperlich; E6 höher körperlich; E7 emotional erhöht; E8 höchste körperliche und emotionale Sensibilität; E9 erneut erhöht; E10 kontrollierter Transfer.</w:t>
      </w:r>
    </w:p>
    <w:p>
      <w:pPr>
        <w:pStyle w:val="ListBullet"/>
      </w:pPr>
      <w:r>
        <w:t>Besonders kritisch ist die Folge E6 bis E9. B4 muss prüfen, ob E8 reduziert, E9 ohne U08 geplant oder die Belastung anders verteilt werden sollte.</w:t>
      </w:r>
    </w:p>
    <w:p>
      <w:pPr>
        <w:pStyle w:val="ListBullet"/>
      </w:pPr>
      <w:r>
        <w:t>Aktivzeit, Pilotrisiken, Redundanzen, echte SV-Zeitanteile und Umsetzbarkeit in 180 Minuten sind noch nicht abschließend geprüft.</w:t>
      </w:r>
    </w:p>
    <w:p>
      <w:pPr>
        <w:pStyle w:val="Heading1"/>
      </w:pPr>
      <w:r>
        <w:t>6. Prüfstatus</w:t>
      </w:r>
    </w:p>
    <w:p>
      <w:pPr>
        <w:pStyle w:val="ListBullet"/>
      </w:pPr>
      <w:r>
        <w:t>Dieser Stand ist eine vorläufige Grobmatrix, keine freigegebene Kursarchitektur.</w:t>
      </w:r>
    </w:p>
    <w:p>
      <w:pPr>
        <w:pStyle w:val="ListBullet"/>
      </w:pPr>
      <w:r>
        <w:t>Die Übungszuordnungen beruhen auf den Ergebnissen von Phase A; das validierte Fähigkeitsmapping wurde nicht verändert.</w:t>
      </w:r>
    </w:p>
    <w:p>
      <w:pPr>
        <w:pStyle w:val="ListBullet"/>
      </w:pPr>
      <w:r>
        <w:t>Die endgültige Belastungs-, Sicherheits-, Zeit- und Abdeckungsprüfung erfolgt in B4.</w:t>
      </w:r>
    </w:p>
    <w:p>
      <w:pPr>
        <w:pStyle w:val="ListBullet"/>
      </w:pPr>
      <w:r>
        <w:t>Die konsolidierte Freigabefassung entsteht erst in B5.</w:t>
      </w:r>
    </w:p>
    <w:sectPr w:rsidR="00FC693F" w:rsidRPr="0006063C" w:rsidSect="00034616">
      <w:footerReference w:type="default" r:id="rId9"/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t>Vorläufige 10-Einheiten-Matrix · Phase B / B3 · Arbeitsstand v0.1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4F81BD" w:themeColor="accen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" w:hAnsi="Aptos"/>
      <w:b/>
      <w:bCs/>
      <w:color w:val="4F81BD" w:themeColor="accent1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color w:val="17365D" w:themeColor="text2" w:themeShade="BF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Vorläufige 10-Einheiten-Matrix Phase B B3</dc:title>
  <dc:subject>Gewaltschutzkurs für Frauen und Mädchen</dc:subject>
  <dc:creator>python-docx</dc:creator>
  <cp:keywords/>
  <dc:description>Arbeitsstand zur fachlichen Prüfung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